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3000000">
      <w:pPr>
        <w:pStyle w:val="Style_2"/>
        <w:ind w:firstLine="709" w:left="0"/>
        <w:rPr>
          <w:b w:val="1"/>
          <w:sz w:val="32"/>
        </w:rPr>
      </w:pPr>
      <w:r>
        <w:rPr>
          <w:b w:val="1"/>
          <w:sz w:val="32"/>
        </w:rPr>
        <w:t>Пояснительная записка</w:t>
      </w:r>
    </w:p>
    <w:p w14:paraId="04000000">
      <w:pPr>
        <w:pStyle w:val="Style_2"/>
        <w:ind w:firstLine="709" w:left="0"/>
        <w:rPr>
          <w:b w:val="1"/>
          <w:sz w:val="32"/>
        </w:rPr>
      </w:pPr>
      <w:r>
        <w:rPr>
          <w:b w:val="1"/>
          <w:sz w:val="32"/>
        </w:rPr>
        <w:t xml:space="preserve"> к проекту областного закона</w:t>
      </w:r>
    </w:p>
    <w:p w14:paraId="05000000">
      <w:pPr>
        <w:pStyle w:val="Style_2"/>
        <w:ind w:firstLine="709" w:left="0"/>
        <w:rPr>
          <w:b w:val="1"/>
          <w:sz w:val="32"/>
        </w:rPr>
      </w:pPr>
      <w:r>
        <w:rPr>
          <w:b w:val="1"/>
          <w:sz w:val="32"/>
        </w:rPr>
        <w:t xml:space="preserve"> «Об областном бюджете на 2025 год и </w:t>
      </w:r>
    </w:p>
    <w:p w14:paraId="06000000">
      <w:pPr>
        <w:pStyle w:val="Style_2"/>
        <w:ind w:firstLine="709" w:left="0"/>
        <w:rPr>
          <w:b w:val="1"/>
          <w:sz w:val="32"/>
        </w:rPr>
      </w:pPr>
      <w:r>
        <w:rPr>
          <w:b w:val="1"/>
          <w:sz w:val="32"/>
        </w:rPr>
        <w:t xml:space="preserve">на плановый период 2026 и 2027 годов» </w:t>
      </w:r>
    </w:p>
    <w:p w14:paraId="07000000">
      <w:pPr>
        <w:pStyle w:val="Style_2"/>
        <w:ind w:firstLine="709" w:left="0"/>
        <w:rPr>
          <w:b w:val="1"/>
        </w:rPr>
      </w:pPr>
    </w:p>
    <w:p w14:paraId="08000000">
      <w:pPr>
        <w:pStyle w:val="Style_2"/>
        <w:numPr>
          <w:ilvl w:val="0"/>
          <w:numId w:val="1"/>
        </w:numPr>
        <w:ind/>
        <w:jc w:val="left"/>
        <w:rPr>
          <w:b w:val="1"/>
          <w:sz w:val="32"/>
        </w:rPr>
      </w:pPr>
      <w:r>
        <w:rPr>
          <w:b w:val="1"/>
          <w:sz w:val="32"/>
        </w:rPr>
        <w:t>Введение</w:t>
      </w:r>
    </w:p>
    <w:p w14:paraId="09000000">
      <w:pPr>
        <w:pStyle w:val="Style_2"/>
        <w:ind w:firstLine="0" w:left="709"/>
      </w:pPr>
    </w:p>
    <w:p w14:paraId="0A000000">
      <w:pPr>
        <w:widowControl w:val="0"/>
        <w:spacing w:line="228" w:lineRule="auto"/>
        <w:ind w:firstLine="709" w:left="0"/>
        <w:jc w:val="both"/>
      </w:pPr>
      <w:r>
        <w:t>Проект областного закона «Об областном бюджете на 2025 год и на плановый период 2026 и 2027 годов» (далее – законопроект) подготовлен на основе прогноза социально-экономического развития Ростовской области на 2025-2027 годы, утвержденного распоряжением Правительства Ростовской области от 19.07.2024 № 544, основных направлений бюджетной и налоговой политики Ростовской области на 2025 год и на плановый период 2026 и 2027 годов, с учетом основных</w:t>
      </w:r>
      <w:r>
        <w:t xml:space="preserve"> приоритетов, обозначенных Президентом и Правительством Российской Федерации, ключевых задач, поставленных Губернатором Ростовской области.</w:t>
      </w:r>
    </w:p>
    <w:p w14:paraId="0B000000">
      <w:pPr>
        <w:widowControl w:val="0"/>
        <w:spacing w:line="228" w:lineRule="auto"/>
        <w:ind w:firstLine="709" w:left="0"/>
        <w:jc w:val="both"/>
      </w:pPr>
      <w:r>
        <w:t>Подготовка законопроекта осуществлена с учетом Областных законов от</w:t>
      </w:r>
      <w:r>
        <w:t> </w:t>
      </w:r>
      <w:r>
        <w:t>03.08.2007 № 743-ЗС «О бюджетном процессе в Ростовской области», от</w:t>
      </w:r>
      <w:r>
        <w:t> </w:t>
      </w:r>
      <w:r>
        <w:t>10.05.2012 № 843-ЗС «О региональных налогах и некоторых вопросах налогообложения в Ростовской области» и от 26.12.2016 № 834-ЗС «О</w:t>
      </w:r>
      <w:r>
        <w:t> </w:t>
      </w:r>
      <w:r>
        <w:t>межбюджетных отношениях органов государственной власти и органов местного самоуправления в Ростовской области».</w:t>
      </w:r>
    </w:p>
    <w:p w14:paraId="0C000000">
      <w:pPr>
        <w:widowControl w:val="0"/>
        <w:spacing w:line="228" w:lineRule="auto"/>
        <w:ind w:firstLine="709" w:left="0"/>
        <w:jc w:val="both"/>
      </w:pPr>
      <w:r>
        <w:t>На федеральном уровне государственной политикой предусмотрена реализация мер по обеспечению финансового суверенитета страны, опережающему развитию транспортной, коммунальной и социальной инфраструктуры, повышению благосостояния граждан Российской Федерации, обеспечению народосбережения, защиты материнства и детства, поддержки семей, имеющих детей.</w:t>
      </w:r>
    </w:p>
    <w:p w14:paraId="0D000000">
      <w:pPr>
        <w:widowControl w:val="0"/>
        <w:spacing w:line="228" w:lineRule="auto"/>
        <w:ind w:firstLine="709" w:left="0"/>
        <w:jc w:val="both"/>
      </w:pPr>
      <w:r>
        <w:t>Указом Президента Российской Федерации от 07.05.2024 № 309 определены обновленные национальные цели развития Российской Федерации на период до 2030 года и на перспективу до 2036 года.</w:t>
      </w:r>
    </w:p>
    <w:p w14:paraId="0E000000">
      <w:pPr>
        <w:widowControl w:val="0"/>
        <w:ind w:firstLine="709" w:left="0"/>
        <w:jc w:val="both"/>
      </w:pPr>
      <w:r>
        <w:t>Бюджетная и налоговая политика Ростовской области на 2025 год и на плановый период 2026 и 2027 годов сформирована в соответствии с определяющими целями и задачами государственной политики Российской Федерации и направлена на укрепление стабильности финансовой системы, содействие достижению национальных целей развития, адаптацию к геополитическим вызовам и выполнение всех социальных обязательств перед жителями области в полном объеме.</w:t>
      </w:r>
    </w:p>
    <w:p w14:paraId="0F000000">
      <w:pPr>
        <w:widowControl w:val="0"/>
        <w:spacing w:line="228" w:lineRule="auto"/>
        <w:ind w:firstLine="709" w:left="0"/>
        <w:jc w:val="both"/>
      </w:pPr>
      <w:r>
        <w:t xml:space="preserve">На текущем этапе обновленные национальные проекты, являющиеся основным инструментом достижения национальных целей развития, запланированы в законопроекте с учетом утвержденных объемов федеральных поступлений в плановом периоде 2025-2026 годов в Областном законе от 14.12.2023  № 58-ЗС «Об областном бюджете на 2024 год и на плановый период 2025 и 2026 годов». </w:t>
      </w:r>
    </w:p>
    <w:p w14:paraId="10000000">
      <w:pPr>
        <w:widowControl w:val="0"/>
        <w:spacing w:line="228" w:lineRule="auto"/>
        <w:ind w:firstLine="709" w:left="0"/>
        <w:jc w:val="both"/>
      </w:pPr>
      <w:r>
        <w:t>По результатам рассмотрения проекта федерального бюджета на 2025-2027 годы в Государственной Думе Российской Федерации количество региональных проектов, направленных на достижение целей национального проекта, и объемы их финансового обеспечения будут уточнены ко 2 чтению.</w:t>
      </w:r>
    </w:p>
    <w:p w14:paraId="11000000">
      <w:pPr>
        <w:widowControl w:val="0"/>
        <w:spacing w:line="228" w:lineRule="auto"/>
        <w:ind w:firstLine="709" w:left="0"/>
        <w:jc w:val="both"/>
      </w:pPr>
      <w:r>
        <w:t xml:space="preserve">Налоговая политика Ростовской области на 2025 год и на плановый период 2026 и 2027 годов ориентирована на предсказуемость налогового законодательства, обеспечение устойчивого роста объема бюджетных доходов, а также поддержку предпринимательской и инвестиционной активности,  создание справедливых конкурентных условий для развития экономики. </w:t>
      </w:r>
    </w:p>
    <w:p w14:paraId="12000000">
      <w:pPr>
        <w:widowControl w:val="0"/>
        <w:spacing w:line="228" w:lineRule="auto"/>
        <w:ind w:firstLine="709" w:left="0"/>
        <w:jc w:val="both"/>
      </w:pPr>
      <w:r>
        <w:t>Законопроектом</w:t>
      </w:r>
      <w:r>
        <w:t xml:space="preserve"> на 2025-2027 годы, подготовленным к рассмотрению в 1 чтении, прежде </w:t>
      </w:r>
      <w:r>
        <w:t>всего</w:t>
      </w:r>
      <w:r>
        <w:t xml:space="preserve"> учтены обязательства по финансовому обеспечению первоочередных расходов областного бюджета, включая заработную плату работникам бюджетной сферы, социальные выплаты, стипендии и меры социальной поддержки отдельным категориям граждан. Предусмотрены </w:t>
      </w:r>
      <w:r>
        <w:t>в полном объеме</w:t>
      </w:r>
      <w:r>
        <w:t xml:space="preserve"> ассигнования для финансового обеспечения деятельности государственных учреждений и предоставления государственных услуг. </w:t>
      </w:r>
    </w:p>
    <w:p w14:paraId="13000000">
      <w:pPr>
        <w:widowControl w:val="0"/>
        <w:ind w:firstLine="709" w:left="0"/>
        <w:jc w:val="both"/>
      </w:pPr>
      <w:r>
        <w:t xml:space="preserve">Инвестиционная составляющая проекта областного бюджета направлена на завершение работ по переходящим объектам строительства, реконструкции, капитального ремонта государственной и муниципальной собственности с учетом разработки проектной документации и проектно-изыскательских работ, утвержденным Областным законом от 14.12.2023  № 58-ЗС «Об областном бюджете на 2024 год и на плановый период 2025 и 2026 годов». </w:t>
      </w:r>
    </w:p>
    <w:p w14:paraId="14000000">
      <w:pPr>
        <w:ind w:firstLine="709" w:left="0"/>
        <w:jc w:val="both"/>
      </w:pPr>
      <w:r>
        <w:t xml:space="preserve"> Основные подходы формирования и исполнения областного бюджета  в предстоящем трехлетнем цикле сохранят механизмы эффективного расходования бюджетных средств, оптимизации и переформатирования расходов областного бюджета.</w:t>
      </w:r>
    </w:p>
    <w:p w14:paraId="15000000">
      <w:pPr>
        <w:widowControl w:val="0"/>
        <w:spacing w:line="228" w:lineRule="auto"/>
        <w:ind w:firstLine="709" w:left="0"/>
        <w:jc w:val="both"/>
      </w:pPr>
      <w:r>
        <w:t xml:space="preserve">В целях сбалансированности областного бюджета и возможности направления дополнительных ассигнований на приоритетные расходы областного бюджета проектом областного бюджета на 2025-2027 годы к 1 чтению создан резерв, который планируется к распределению ко 2 чтению, в том числе на </w:t>
      </w:r>
      <w:r>
        <w:t xml:space="preserve">обеспечение установленного уровня софинансирования федеральных трансфертов, </w:t>
      </w:r>
      <w:r>
        <w:t>пере</w:t>
      </w:r>
      <w:r>
        <w:t>рас</w:t>
      </w:r>
      <w:r>
        <w:t>чет</w:t>
      </w:r>
      <w:r>
        <w:t xml:space="preserve"> </w:t>
      </w:r>
      <w:r>
        <w:rPr>
          <w:color w:themeColor="text1" w:val="000000"/>
        </w:rPr>
        <w:t>страховых взносов по обязательному медицинскому страхованию неработающего населения</w:t>
      </w:r>
      <w:r>
        <w:t xml:space="preserve"> в связи с изменением коэффициента у</w:t>
      </w:r>
      <w:r>
        <w:t>дорожания стоимости медицинских</w:t>
      </w:r>
      <w:r>
        <w:t xml:space="preserve"> услуг</w:t>
      </w:r>
      <w:r>
        <w:t>,</w:t>
      </w:r>
      <w:r>
        <w:t xml:space="preserve"> уточнение</w:t>
      </w:r>
      <w:r>
        <w:t xml:space="preserve"> расход</w:t>
      </w:r>
      <w:r>
        <w:t>ов</w:t>
      </w:r>
      <w:r>
        <w:t xml:space="preserve"> областного бюджета </w:t>
      </w:r>
      <w:r>
        <w:t>в</w:t>
      </w:r>
      <w:r>
        <w:t xml:space="preserve"> связи с </w:t>
      </w:r>
      <w:r>
        <w:t>изменением</w:t>
      </w:r>
      <w:r>
        <w:t xml:space="preserve"> прогнозного уровня инфляции в 2025 году с 4,0 процента до 4,5 процента</w:t>
      </w:r>
      <w:r>
        <w:t>,</w:t>
      </w:r>
      <w:r>
        <w:t xml:space="preserve"> непредвиденных расходов, включая средства на обеспечение мероприятий, связанных с проведением специальной военной операции.</w:t>
      </w:r>
      <w:r>
        <w:t xml:space="preserve"> </w:t>
      </w:r>
    </w:p>
    <w:p w14:paraId="16000000">
      <w:pPr>
        <w:widowControl w:val="0"/>
        <w:ind w:firstLine="709" w:left="0"/>
        <w:jc w:val="both"/>
      </w:pPr>
      <w:r>
        <w:t>Финансовое обеспечение новых расходных обязатель</w:t>
      </w:r>
      <w:r>
        <w:t>ств пл</w:t>
      </w:r>
      <w:r>
        <w:t>анируется с учетом имеющихся ресурсов и проведения взвешенной долговой политики в части ограничения привлечения рыночных кредитных заимствований.</w:t>
      </w:r>
    </w:p>
    <w:p w14:paraId="17000000">
      <w:pPr>
        <w:widowControl w:val="0"/>
        <w:spacing w:line="228" w:lineRule="auto"/>
        <w:ind w:firstLine="709" w:left="0"/>
        <w:jc w:val="both"/>
      </w:pPr>
      <w:r>
        <w:t>В целях развития инфраструктуры для жизни продолжится реализация инфраструктурных проектов, источником финансового обеспечения которых являются бюджетные кредиты из федерального бюджета. По результатам распределения и доведения до субъектов Российской Федерации лимитов бюджетных кредитов на реализацию инфраструктурных проектов планируется направить бюджетные ресурсы на строительство и модернизацию объектов инфраструктуры, находящ</w:t>
      </w:r>
      <w:r>
        <w:t>ихся</w:t>
      </w:r>
      <w:r>
        <w:t xml:space="preserve"> в государственной и муниципальной собственности, в том числе в сфере жилищно-коммунального хозяйства.</w:t>
      </w:r>
    </w:p>
    <w:p w14:paraId="18000000">
      <w:pPr>
        <w:spacing w:line="228" w:lineRule="auto"/>
        <w:ind w:firstLine="709" w:left="0"/>
        <w:jc w:val="both"/>
      </w:pPr>
      <w:r>
        <w:t xml:space="preserve">В целях государственной поддержки экономики проектом бюджета предусмотрены субсидии юридическим лицам, индивидуальным </w:t>
      </w:r>
      <w:r>
        <w:t xml:space="preserve">предпринимателям, физическим лицам и некоммерческим организациям, </w:t>
      </w:r>
      <w:r>
        <w:t>порядки</w:t>
      </w:r>
      <w:r>
        <w:t xml:space="preserve"> предоставления которых установлены Правительством Ростовской области. </w:t>
      </w:r>
    </w:p>
    <w:p w14:paraId="19000000">
      <w:pPr>
        <w:spacing w:line="228" w:lineRule="auto"/>
        <w:ind w:firstLine="709" w:left="0"/>
        <w:jc w:val="both"/>
      </w:pPr>
      <w:r>
        <w:t xml:space="preserve">При предоставлении указанных субсидий, начиная с 1 января 2025 года, в соответствии с Федеральным законом от 13.07.2024 №177-ФЗ «О внесении изменений в Бюджетный кодекс Российской Федерации и отдельные законодательные акты Российской Федерации» введены правила отбора получателей субсидий за счет </w:t>
      </w:r>
      <w:r>
        <w:t>средств</w:t>
      </w:r>
      <w:r>
        <w:t xml:space="preserve"> трансфертов из федерального бюджета и за счет средств областного бюджета в государственной интегрированной информационной системе управления общественными финансами «Электронный бюджет».</w:t>
      </w:r>
    </w:p>
    <w:p w14:paraId="1A000000">
      <w:pPr>
        <w:spacing w:line="228" w:lineRule="auto"/>
        <w:ind w:firstLine="709" w:left="0"/>
        <w:jc w:val="both"/>
      </w:pPr>
      <w:r>
        <w:t>Новацией для проекта</w:t>
      </w:r>
      <w:r>
        <w:t xml:space="preserve"> областного</w:t>
      </w:r>
      <w:r>
        <w:t xml:space="preserve"> бюджета на 2025 – 2027 годы является необходимость соблюдения дополнительных ограничений в части расходов при исполнении концессионных соглашений, о государственно-частном партнерстве, по договорам финансовой аренды (лизинга), а также в части объема государственного долга Ростовской области с учетом реализации указанных соглашений, в соответствии с изменениями, внесенными в Бюджетный кодекс Российской Федерации.</w:t>
      </w:r>
    </w:p>
    <w:p w14:paraId="1B000000">
      <w:pPr>
        <w:spacing w:line="228" w:lineRule="auto"/>
        <w:ind w:firstLine="709" w:left="0"/>
        <w:jc w:val="both"/>
      </w:pPr>
      <w:r>
        <w:t xml:space="preserve">Кроме того, на федеральном уровне принято решение о списании двух третей задолженности регионов по бюджетным кредитам перед федеральным бюджетом, с учетом направления высвободившихся средств на поддержку инвестиций, инфраструктурные проекты, </w:t>
      </w:r>
      <w:r>
        <w:t xml:space="preserve">объекты </w:t>
      </w:r>
      <w:r>
        <w:t>жилищно-коммунального хозяйства. Данные средства будут распределены на соответствующие направления ко 2 чтению.</w:t>
      </w:r>
    </w:p>
    <w:p w14:paraId="1C000000">
      <w:pPr>
        <w:ind w:firstLine="709" w:left="0"/>
        <w:jc w:val="both"/>
        <w:outlineLvl w:val="0"/>
        <w:rPr>
          <w:b w:val="1"/>
        </w:rPr>
      </w:pPr>
      <w:r>
        <w:rPr>
          <w:rStyle w:val="Style_3_ch"/>
        </w:rPr>
        <w:t>Межбюджетные отношения в Ростовской области ориентированы на</w:t>
      </w:r>
      <w:r>
        <w:t xml:space="preserve"> стимулирование ускоренного экономического развития, </w:t>
      </w:r>
      <w:r>
        <w:rPr>
          <w:rStyle w:val="Style_3_ch"/>
        </w:rPr>
        <w:t xml:space="preserve">содействие в обеспечении сбалансированности и устойчивости бюджетов муниципальных образований, а также </w:t>
      </w:r>
      <w:r>
        <w:t>создание прозрачной модели межбюджетных отношений на местном уровне</w:t>
      </w:r>
      <w:r>
        <w:rPr>
          <w:rStyle w:val="Style_3_ch"/>
        </w:rPr>
        <w:t>.</w:t>
      </w:r>
    </w:p>
    <w:p w14:paraId="1D000000">
      <w:pPr>
        <w:ind w:firstLine="709" w:left="0"/>
        <w:jc w:val="both"/>
        <w:outlineLvl w:val="0"/>
      </w:pPr>
      <w:r>
        <w:t>Новацией в сфере</w:t>
      </w:r>
      <w:r>
        <w:t xml:space="preserve"> </w:t>
      </w:r>
      <w:r>
        <w:t xml:space="preserve">межбюджетных отношениях 2025 – 2027 годов является передача муниципальным районам государственного полномочия по расчету и предоставлению дотаций бюджетам поселений с обеспечением за счет субвенций из областного бюджета. </w:t>
      </w:r>
    </w:p>
    <w:p w14:paraId="1E000000">
      <w:pPr>
        <w:ind w:firstLine="709" w:left="0"/>
        <w:jc w:val="both"/>
        <w:outlineLvl w:val="0"/>
      </w:pPr>
      <w:r>
        <w:t xml:space="preserve">Это позволит реализовать полномочие по выравниванию бюджетной обеспеченности поселений, входящих в состав муниципального района, за счет средств бюджета муниципального района и комплексно решать вопросы местного значения муниципальных образований, входящих в состав муниципального района. </w:t>
      </w:r>
    </w:p>
    <w:p w14:paraId="1F000000">
      <w:pPr>
        <w:widowControl w:val="0"/>
        <w:spacing w:line="228" w:lineRule="auto"/>
        <w:ind w:firstLine="709" w:left="0"/>
        <w:jc w:val="both"/>
      </w:pPr>
      <w:r>
        <w:t>Параметры областного бюджета на 2025 год и на плановый период 2026 и 2027 годов сформированы на основе второго (базового) варианта прогноза социально-экономического развития Ростовской области на 2025-2027 годы с учетом предусмотренных основных показателей развития экономики.</w:t>
      </w:r>
    </w:p>
    <w:p w14:paraId="20000000">
      <w:pPr>
        <w:spacing w:line="228" w:lineRule="auto"/>
        <w:ind w:firstLine="709" w:left="0"/>
        <w:jc w:val="both"/>
        <w:outlineLvl w:val="3"/>
        <w:rPr>
          <w:spacing w:val="-4"/>
        </w:rPr>
      </w:pPr>
      <w:r>
        <w:t xml:space="preserve">Подготовка проекта областного бюджета на 2025-2027 годы обеспечена в соответствии с постановлением Правительства Ростовской области от 29.05.2024 № 355 «Об утверждении Порядка и сроков составления </w:t>
      </w:r>
      <w:r>
        <w:rPr>
          <w:spacing w:val="-4"/>
        </w:rPr>
        <w:t>проекта областного бюджета на 2025 год и на плановый период 2026 и 2027 годов».</w:t>
      </w:r>
    </w:p>
    <w:p w14:paraId="21000000">
      <w:pPr>
        <w:pStyle w:val="Style_4"/>
        <w:spacing w:line="228" w:lineRule="auto"/>
        <w:ind w:firstLine="709" w:left="0"/>
        <w:jc w:val="both"/>
        <w:rPr>
          <w:rFonts w:ascii="Times New Roman" w:hAnsi="Times New Roman"/>
          <w:sz w:val="28"/>
        </w:rPr>
      </w:pPr>
      <w:r>
        <w:rPr>
          <w:rFonts w:ascii="Times New Roman" w:hAnsi="Times New Roman"/>
          <w:sz w:val="28"/>
        </w:rPr>
        <w:t>Уточнение параметров ко 2 чтению будет осуществляться с учетом рассмотрения проекта федерального бюджета на 2025-2027 годы в Государственной Думе Российской Федерации.</w:t>
      </w:r>
    </w:p>
    <w:p w14:paraId="22000000">
      <w:pPr>
        <w:widowControl w:val="0"/>
        <w:spacing w:line="228" w:lineRule="auto"/>
        <w:ind w:firstLine="709" w:left="0"/>
        <w:jc w:val="both"/>
      </w:pPr>
      <w:r>
        <w:t xml:space="preserve">Подробное описание </w:t>
      </w:r>
      <w:r>
        <w:t>показателей</w:t>
      </w:r>
      <w:r>
        <w:t xml:space="preserve"> областного бюджета представлено в следующих разделах пояснительной записки.</w:t>
      </w:r>
    </w:p>
    <w:p w14:paraId="23000000">
      <w:pPr>
        <w:tabs>
          <w:tab w:leader="none" w:pos="4408" w:val="left"/>
        </w:tabs>
        <w:ind/>
        <w:jc w:val="center"/>
        <w:outlineLvl w:val="3"/>
        <w:rPr>
          <w:b w:val="1"/>
          <w:sz w:val="32"/>
        </w:rPr>
      </w:pPr>
    </w:p>
    <w:p w14:paraId="24000000">
      <w:pPr>
        <w:tabs>
          <w:tab w:leader="none" w:pos="4408" w:val="left"/>
        </w:tabs>
        <w:ind/>
        <w:jc w:val="center"/>
        <w:outlineLvl w:val="3"/>
        <w:rPr>
          <w:b w:val="1"/>
          <w:sz w:val="32"/>
        </w:rPr>
      </w:pPr>
      <w:r>
        <w:rPr>
          <w:b w:val="1"/>
          <w:sz w:val="32"/>
        </w:rPr>
        <w:t>II. Основные характеристики проекта</w:t>
      </w:r>
    </w:p>
    <w:p w14:paraId="25000000">
      <w:pPr>
        <w:pStyle w:val="Style_2"/>
        <w:rPr>
          <w:b w:val="1"/>
          <w:sz w:val="32"/>
        </w:rPr>
      </w:pPr>
      <w:r>
        <w:rPr>
          <w:b w:val="1"/>
          <w:sz w:val="32"/>
        </w:rPr>
        <w:t xml:space="preserve">областного бюджета на 2025 год и </w:t>
      </w:r>
      <w:r>
        <w:rPr>
          <w:b w:val="1"/>
          <w:sz w:val="32"/>
        </w:rPr>
        <w:t>на</w:t>
      </w:r>
      <w:r>
        <w:rPr>
          <w:b w:val="1"/>
          <w:sz w:val="32"/>
        </w:rPr>
        <w:t xml:space="preserve"> плановый</w:t>
      </w:r>
    </w:p>
    <w:p w14:paraId="26000000">
      <w:pPr>
        <w:pStyle w:val="Style_2"/>
        <w:rPr>
          <w:b w:val="1"/>
          <w:sz w:val="32"/>
        </w:rPr>
      </w:pPr>
      <w:r>
        <w:rPr>
          <w:b w:val="1"/>
          <w:sz w:val="32"/>
        </w:rPr>
        <w:t>период 2026 и 2027 годов</w:t>
      </w:r>
    </w:p>
    <w:p w14:paraId="27000000">
      <w:pPr>
        <w:pStyle w:val="Style_2"/>
        <w:ind w:firstLine="709" w:left="0"/>
        <w:jc w:val="both"/>
      </w:pPr>
    </w:p>
    <w:p w14:paraId="28000000">
      <w:pPr>
        <w:pStyle w:val="Style_2"/>
        <w:ind w:firstLine="709" w:left="0"/>
        <w:jc w:val="both"/>
      </w:pPr>
      <w:r>
        <w:t>Основные характеристики проекта областного закона «Об областном бюджете на 2025 год и на плановый период 2026 и 2027 годов» к 1 чтению предлагаются в соответствии с нижеприведенной таблицей.</w:t>
      </w:r>
    </w:p>
    <w:p w14:paraId="29000000">
      <w:pPr>
        <w:pStyle w:val="Style_2"/>
        <w:ind w:firstLine="709" w:left="0"/>
        <w:jc w:val="right"/>
        <w:rPr>
          <w:sz w:val="24"/>
        </w:rPr>
      </w:pPr>
    </w:p>
    <w:p w14:paraId="2A000000">
      <w:pPr>
        <w:pStyle w:val="Style_2"/>
        <w:ind w:firstLine="709" w:left="0"/>
        <w:jc w:val="right"/>
      </w:pPr>
      <w:r>
        <w:t>млн рублей</w:t>
      </w:r>
    </w:p>
    <w:tbl>
      <w:tblPr>
        <w:tblStyle w:val="Style_5"/>
        <w:tblInd w:type="dxa" w:w="-34"/>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3646"/>
        <w:gridCol w:w="2383"/>
        <w:gridCol w:w="1963"/>
        <w:gridCol w:w="1963"/>
      </w:tblGrid>
      <w:tr>
        <w:trPr>
          <w:trHeight w:hRule="atLeast" w:val="534"/>
          <w:tblHeader/>
        </w:trPr>
        <w:tc>
          <w:tcPr>
            <w:tcW w:type="dxa" w:w="3646"/>
            <w:vMerge w:val="restart"/>
            <w:tcBorders>
              <w:top w:color="000000" w:sz="4" w:val="single"/>
              <w:left w:color="000000" w:sz="4" w:val="single"/>
              <w:bottom w:color="000000" w:sz="4" w:val="single"/>
              <w:right w:color="000000" w:sz="4" w:val="single"/>
            </w:tcBorders>
          </w:tcPr>
          <w:p w14:paraId="2B000000">
            <w:pPr>
              <w:pStyle w:val="Style_4"/>
              <w:spacing w:line="360" w:lineRule="auto"/>
              <w:ind w:hanging="108" w:left="108"/>
              <w:jc w:val="center"/>
              <w:rPr>
                <w:rFonts w:ascii="Times New Roman" w:hAnsi="Times New Roman"/>
                <w:b w:val="1"/>
                <w:sz w:val="28"/>
              </w:rPr>
            </w:pPr>
            <w:r>
              <w:rPr>
                <w:rFonts w:ascii="Times New Roman" w:hAnsi="Times New Roman"/>
                <w:b w:val="1"/>
                <w:sz w:val="28"/>
              </w:rPr>
              <w:t>Показатель</w:t>
            </w:r>
          </w:p>
        </w:tc>
        <w:tc>
          <w:tcPr>
            <w:tcW w:type="dxa" w:w="6309"/>
            <w:gridSpan w:val="3"/>
            <w:tcBorders>
              <w:top w:color="000000" w:sz="4" w:val="single"/>
              <w:left w:color="000000" w:sz="4" w:val="single"/>
              <w:bottom w:color="000000" w:sz="4" w:val="single"/>
              <w:right w:color="000000" w:sz="4" w:val="single"/>
            </w:tcBorders>
          </w:tcPr>
          <w:p w14:paraId="2C000000">
            <w:pPr>
              <w:pStyle w:val="Style_4"/>
              <w:ind w:firstLine="0" w:left="0"/>
              <w:jc w:val="center"/>
              <w:rPr>
                <w:rFonts w:ascii="Times New Roman" w:hAnsi="Times New Roman"/>
                <w:b w:val="1"/>
                <w:sz w:val="28"/>
              </w:rPr>
            </w:pPr>
            <w:r>
              <w:rPr>
                <w:rFonts w:ascii="Times New Roman" w:hAnsi="Times New Roman"/>
                <w:b w:val="1"/>
                <w:sz w:val="28"/>
              </w:rPr>
              <w:t>Законопроект</w:t>
            </w:r>
          </w:p>
        </w:tc>
      </w:tr>
      <w:tr>
        <w:trPr>
          <w:tblHeader/>
        </w:trPr>
        <w:tc>
          <w:tcPr>
            <w:tcW w:type="dxa" w:w="3646"/>
            <w:gridSpan w:val="1"/>
            <w:vMerge w:val="continue"/>
            <w:tcBorders>
              <w:top w:color="000000" w:sz="4" w:val="single"/>
              <w:left w:color="000000" w:sz="4" w:val="single"/>
              <w:bottom w:color="000000" w:sz="4" w:val="single"/>
              <w:right w:color="000000" w:sz="4" w:val="single"/>
            </w:tcBorders>
          </w:tcPr>
          <w:p/>
        </w:tc>
        <w:tc>
          <w:tcPr>
            <w:tcW w:type="dxa" w:w="2383"/>
            <w:tcBorders>
              <w:top w:color="000000" w:sz="4" w:val="single"/>
              <w:left w:color="000000" w:sz="4" w:val="single"/>
              <w:bottom w:color="000000" w:sz="4" w:val="single"/>
              <w:right w:color="000000" w:sz="4" w:val="single"/>
            </w:tcBorders>
          </w:tcPr>
          <w:p w14:paraId="2D000000">
            <w:pPr>
              <w:pStyle w:val="Style_4"/>
              <w:spacing w:line="360" w:lineRule="auto"/>
              <w:ind w:firstLine="0" w:left="0"/>
              <w:jc w:val="center"/>
              <w:rPr>
                <w:rFonts w:ascii="Times New Roman" w:hAnsi="Times New Roman"/>
                <w:b w:val="1"/>
                <w:sz w:val="28"/>
              </w:rPr>
            </w:pPr>
            <w:r>
              <w:rPr>
                <w:rFonts w:ascii="Times New Roman" w:hAnsi="Times New Roman"/>
                <w:b w:val="1"/>
                <w:sz w:val="28"/>
              </w:rPr>
              <w:t>2025 год</w:t>
            </w:r>
          </w:p>
        </w:tc>
        <w:tc>
          <w:tcPr>
            <w:tcW w:type="dxa" w:w="1963"/>
            <w:tcBorders>
              <w:top w:color="000000" w:sz="4" w:val="single"/>
              <w:left w:color="000000" w:sz="4" w:val="single"/>
              <w:bottom w:color="000000" w:sz="4" w:val="single"/>
              <w:right w:color="000000" w:sz="4" w:val="single"/>
            </w:tcBorders>
          </w:tcPr>
          <w:p w14:paraId="2E000000">
            <w:pPr>
              <w:pStyle w:val="Style_4"/>
              <w:spacing w:line="360" w:lineRule="auto"/>
              <w:ind w:firstLine="108" w:left="-108"/>
              <w:jc w:val="center"/>
              <w:rPr>
                <w:rFonts w:ascii="Times New Roman" w:hAnsi="Times New Roman"/>
                <w:b w:val="1"/>
                <w:sz w:val="28"/>
              </w:rPr>
            </w:pPr>
            <w:r>
              <w:rPr>
                <w:rFonts w:ascii="Times New Roman" w:hAnsi="Times New Roman"/>
                <w:b w:val="1"/>
                <w:sz w:val="28"/>
              </w:rPr>
              <w:t>2026 год</w:t>
            </w:r>
          </w:p>
        </w:tc>
        <w:tc>
          <w:tcPr>
            <w:tcW w:type="dxa" w:w="1963"/>
            <w:tcBorders>
              <w:top w:color="000000" w:sz="4" w:val="single"/>
              <w:left w:color="000000" w:sz="4" w:val="single"/>
              <w:bottom w:color="000000" w:sz="4" w:val="single"/>
              <w:right w:color="000000" w:sz="4" w:val="single"/>
            </w:tcBorders>
          </w:tcPr>
          <w:p w14:paraId="2F000000">
            <w:pPr>
              <w:pStyle w:val="Style_4"/>
              <w:spacing w:line="360" w:lineRule="auto"/>
              <w:ind w:firstLine="0" w:left="0"/>
              <w:jc w:val="center"/>
              <w:rPr>
                <w:rFonts w:ascii="Times New Roman" w:hAnsi="Times New Roman"/>
                <w:b w:val="1"/>
                <w:sz w:val="28"/>
              </w:rPr>
            </w:pPr>
            <w:r>
              <w:rPr>
                <w:rFonts w:ascii="Times New Roman" w:hAnsi="Times New Roman"/>
                <w:b w:val="1"/>
                <w:sz w:val="28"/>
              </w:rPr>
              <w:t>2027 год</w:t>
            </w:r>
          </w:p>
        </w:tc>
      </w:tr>
      <w:tr>
        <w:tc>
          <w:tcPr>
            <w:tcW w:type="dxa" w:w="3646"/>
            <w:tcBorders>
              <w:top w:color="000000" w:sz="4" w:val="single"/>
              <w:left w:color="000000" w:sz="4" w:val="single"/>
              <w:bottom w:color="000000" w:sz="4" w:val="single"/>
              <w:right w:color="000000" w:sz="4" w:val="single"/>
            </w:tcBorders>
            <w:vAlign w:val="center"/>
          </w:tcPr>
          <w:p w14:paraId="30000000">
            <w:pPr>
              <w:pStyle w:val="Style_2"/>
              <w:ind/>
              <w:jc w:val="left"/>
            </w:pPr>
            <w:r>
              <w:rPr>
                <w:b w:val="1"/>
              </w:rPr>
              <w:t>I. Доходы, всего</w:t>
            </w:r>
          </w:p>
        </w:tc>
        <w:tc>
          <w:tcPr>
            <w:tcW w:type="dxa" w:w="2383"/>
            <w:tcBorders>
              <w:top w:color="000000" w:sz="4" w:val="single"/>
              <w:left w:color="000000" w:sz="4" w:val="single"/>
              <w:bottom w:color="000000" w:sz="4" w:val="single"/>
              <w:right w:color="000000" w:sz="4" w:val="single"/>
            </w:tcBorders>
          </w:tcPr>
          <w:p w14:paraId="31000000">
            <w:pPr>
              <w:pStyle w:val="Style_4"/>
              <w:ind w:firstLine="34" w:left="0"/>
              <w:jc w:val="center"/>
              <w:rPr>
                <w:rFonts w:ascii="Times New Roman" w:hAnsi="Times New Roman"/>
                <w:b w:val="1"/>
                <w:sz w:val="28"/>
              </w:rPr>
            </w:pPr>
            <w:r>
              <w:rPr>
                <w:rFonts w:ascii="Times New Roman" w:hAnsi="Times New Roman"/>
                <w:b w:val="1"/>
                <w:sz w:val="28"/>
              </w:rPr>
              <w:t>341 296,4</w:t>
            </w:r>
          </w:p>
        </w:tc>
        <w:tc>
          <w:tcPr>
            <w:tcW w:type="dxa" w:w="1963"/>
            <w:tcBorders>
              <w:top w:color="000000" w:sz="4" w:val="single"/>
              <w:left w:color="000000" w:sz="4" w:val="single"/>
              <w:bottom w:color="000000" w:sz="4" w:val="single"/>
              <w:right w:color="000000" w:sz="4" w:val="single"/>
            </w:tcBorders>
          </w:tcPr>
          <w:p w14:paraId="32000000">
            <w:pPr>
              <w:pStyle w:val="Style_4"/>
              <w:ind w:firstLine="108" w:left="-108"/>
              <w:jc w:val="center"/>
              <w:rPr>
                <w:rFonts w:ascii="Times New Roman" w:hAnsi="Times New Roman"/>
                <w:b w:val="1"/>
                <w:sz w:val="28"/>
              </w:rPr>
            </w:pPr>
            <w:r>
              <w:rPr>
                <w:rFonts w:ascii="Times New Roman" w:hAnsi="Times New Roman"/>
                <w:b w:val="1"/>
                <w:sz w:val="28"/>
              </w:rPr>
              <w:t>339 069,4</w:t>
            </w:r>
          </w:p>
        </w:tc>
        <w:tc>
          <w:tcPr>
            <w:tcW w:type="dxa" w:w="1963"/>
            <w:tcBorders>
              <w:top w:color="000000" w:sz="4" w:val="single"/>
              <w:left w:color="000000" w:sz="4" w:val="single"/>
              <w:bottom w:color="000000" w:sz="4" w:val="single"/>
              <w:right w:color="000000" w:sz="4" w:val="single"/>
            </w:tcBorders>
          </w:tcPr>
          <w:p w14:paraId="33000000">
            <w:pPr>
              <w:pStyle w:val="Style_4"/>
              <w:ind w:firstLine="34" w:left="0"/>
              <w:jc w:val="center"/>
              <w:rPr>
                <w:rFonts w:ascii="Times New Roman" w:hAnsi="Times New Roman"/>
                <w:b w:val="1"/>
                <w:sz w:val="28"/>
              </w:rPr>
            </w:pPr>
            <w:r>
              <w:rPr>
                <w:rFonts w:ascii="Times New Roman" w:hAnsi="Times New Roman"/>
                <w:b w:val="1"/>
                <w:sz w:val="28"/>
              </w:rPr>
              <w:t>323 119,8</w:t>
            </w:r>
          </w:p>
        </w:tc>
      </w:tr>
      <w:tr>
        <w:trPr>
          <w:trHeight w:hRule="atLeast" w:val="70"/>
        </w:trPr>
        <w:tc>
          <w:tcPr>
            <w:tcW w:type="dxa" w:w="3646"/>
            <w:tcBorders>
              <w:top w:color="000000" w:sz="4" w:val="single"/>
              <w:left w:color="000000" w:sz="4" w:val="single"/>
              <w:bottom w:color="000000" w:sz="4" w:val="single"/>
              <w:right w:color="000000" w:sz="4" w:val="single"/>
            </w:tcBorders>
            <w:vAlign w:val="center"/>
          </w:tcPr>
          <w:p w14:paraId="34000000">
            <w:pPr>
              <w:pStyle w:val="Style_2"/>
              <w:ind/>
              <w:jc w:val="left"/>
              <w:rPr>
                <w:b w:val="1"/>
              </w:rPr>
            </w:pPr>
            <w:r>
              <w:t>из них:</w:t>
            </w:r>
          </w:p>
        </w:tc>
        <w:tc>
          <w:tcPr>
            <w:tcW w:type="dxa" w:w="2383"/>
            <w:tcBorders>
              <w:top w:color="000000" w:sz="4" w:val="single"/>
              <w:left w:color="000000" w:sz="4" w:val="single"/>
              <w:bottom w:color="000000" w:sz="4" w:val="single"/>
              <w:right w:color="000000" w:sz="4" w:val="single"/>
            </w:tcBorders>
          </w:tcPr>
          <w:p w14:paraId="35000000">
            <w:pPr>
              <w:pStyle w:val="Style_4"/>
              <w:ind w:firstLine="34" w:left="0"/>
              <w:jc w:val="center"/>
              <w:rPr>
                <w:rFonts w:ascii="Times New Roman" w:hAnsi="Times New Roman"/>
                <w:b w:val="1"/>
                <w:sz w:val="28"/>
              </w:rPr>
            </w:pPr>
          </w:p>
        </w:tc>
        <w:tc>
          <w:tcPr>
            <w:tcW w:type="dxa" w:w="1963"/>
            <w:tcBorders>
              <w:top w:color="000000" w:sz="4" w:val="single"/>
              <w:left w:color="000000" w:sz="4" w:val="single"/>
              <w:bottom w:color="000000" w:sz="4" w:val="single"/>
              <w:right w:color="000000" w:sz="4" w:val="single"/>
            </w:tcBorders>
          </w:tcPr>
          <w:p w14:paraId="36000000">
            <w:pPr>
              <w:pStyle w:val="Style_4"/>
              <w:ind w:firstLine="108" w:left="-108"/>
              <w:jc w:val="center"/>
              <w:rPr>
                <w:rFonts w:ascii="Times New Roman" w:hAnsi="Times New Roman"/>
                <w:b w:val="1"/>
                <w:sz w:val="28"/>
              </w:rPr>
            </w:pPr>
          </w:p>
        </w:tc>
        <w:tc>
          <w:tcPr>
            <w:tcW w:type="dxa" w:w="1963"/>
            <w:tcBorders>
              <w:top w:color="000000" w:sz="4" w:val="single"/>
              <w:left w:color="000000" w:sz="4" w:val="single"/>
              <w:bottom w:color="000000" w:sz="4" w:val="single"/>
              <w:right w:color="000000" w:sz="4" w:val="single"/>
            </w:tcBorders>
          </w:tcPr>
          <w:p w14:paraId="37000000">
            <w:pPr>
              <w:pStyle w:val="Style_4"/>
              <w:ind w:firstLine="34" w:left="0"/>
              <w:jc w:val="center"/>
              <w:rPr>
                <w:rFonts w:ascii="Times New Roman" w:hAnsi="Times New Roman"/>
                <w:b w:val="1"/>
                <w:sz w:val="28"/>
              </w:rPr>
            </w:pPr>
          </w:p>
        </w:tc>
      </w:tr>
      <w:tr>
        <w:tc>
          <w:tcPr>
            <w:tcW w:type="dxa" w:w="3646"/>
            <w:vMerge w:val="restart"/>
            <w:tcBorders>
              <w:top w:color="000000" w:sz="4" w:val="single"/>
              <w:left w:color="000000" w:sz="4" w:val="single"/>
              <w:bottom w:color="000000" w:sz="4" w:val="single"/>
              <w:right w:color="000000" w:sz="4" w:val="single"/>
            </w:tcBorders>
          </w:tcPr>
          <w:p w14:paraId="38000000">
            <w:pPr>
              <w:pStyle w:val="Style_2"/>
              <w:ind/>
              <w:jc w:val="left"/>
            </w:pPr>
            <w:r>
              <w:t>налоговые и неналоговые доходы</w:t>
            </w:r>
          </w:p>
        </w:tc>
        <w:tc>
          <w:tcPr>
            <w:tcW w:type="dxa" w:w="2383"/>
            <w:tcBorders>
              <w:top w:color="000000" w:sz="4" w:val="single"/>
              <w:left w:color="000000" w:sz="4" w:val="single"/>
              <w:bottom w:sz="4" w:val="nil"/>
              <w:right w:color="000000" w:sz="4" w:val="single"/>
            </w:tcBorders>
          </w:tcPr>
          <w:p w14:paraId="39000000">
            <w:pPr>
              <w:pStyle w:val="Style_4"/>
              <w:ind w:hanging="108" w:left="108"/>
              <w:jc w:val="center"/>
              <w:rPr>
                <w:rFonts w:ascii="Times New Roman" w:hAnsi="Times New Roman"/>
                <w:sz w:val="28"/>
              </w:rPr>
            </w:pPr>
            <w:r>
              <w:rPr>
                <w:rFonts w:ascii="Times New Roman" w:hAnsi="Times New Roman"/>
                <w:sz w:val="28"/>
              </w:rPr>
              <w:t>287 949,6</w:t>
            </w:r>
          </w:p>
        </w:tc>
        <w:tc>
          <w:tcPr>
            <w:tcW w:type="dxa" w:w="1963"/>
            <w:tcBorders>
              <w:top w:color="000000" w:sz="4" w:val="single"/>
              <w:left w:color="000000" w:sz="4" w:val="single"/>
              <w:bottom w:sz="4" w:val="nil"/>
              <w:right w:color="000000" w:sz="4" w:val="single"/>
            </w:tcBorders>
          </w:tcPr>
          <w:p w14:paraId="3A000000">
            <w:pPr>
              <w:pStyle w:val="Style_4"/>
              <w:ind w:firstLine="108" w:left="-108"/>
              <w:jc w:val="center"/>
              <w:rPr>
                <w:rFonts w:ascii="Times New Roman" w:hAnsi="Times New Roman"/>
                <w:sz w:val="28"/>
              </w:rPr>
            </w:pPr>
            <w:r>
              <w:rPr>
                <w:rFonts w:ascii="Times New Roman" w:hAnsi="Times New Roman"/>
                <w:sz w:val="28"/>
              </w:rPr>
              <w:t>302 843,2</w:t>
            </w:r>
          </w:p>
        </w:tc>
        <w:tc>
          <w:tcPr>
            <w:tcW w:type="dxa" w:w="1963"/>
            <w:tcBorders>
              <w:top w:color="000000" w:sz="4" w:val="single"/>
              <w:left w:color="000000" w:sz="4" w:val="single"/>
              <w:bottom w:sz="4" w:val="nil"/>
              <w:right w:color="000000" w:sz="4" w:val="single"/>
            </w:tcBorders>
          </w:tcPr>
          <w:p w14:paraId="3B000000">
            <w:pPr>
              <w:pStyle w:val="Style_4"/>
              <w:ind w:hanging="108" w:left="108"/>
              <w:jc w:val="center"/>
              <w:rPr>
                <w:rFonts w:ascii="Times New Roman" w:hAnsi="Times New Roman"/>
                <w:sz w:val="28"/>
              </w:rPr>
            </w:pPr>
            <w:r>
              <w:rPr>
                <w:rFonts w:ascii="Times New Roman" w:hAnsi="Times New Roman"/>
                <w:sz w:val="28"/>
              </w:rPr>
              <w:t>323 119,8</w:t>
            </w:r>
          </w:p>
        </w:tc>
      </w:tr>
      <w:tr>
        <w:trPr>
          <w:trHeight w:hRule="atLeast" w:val="99"/>
        </w:trPr>
        <w:tc>
          <w:tcPr>
            <w:tcW w:type="dxa" w:w="3646"/>
            <w:gridSpan w:val="1"/>
            <w:vMerge w:val="continue"/>
            <w:tcBorders>
              <w:top w:color="000000" w:sz="4" w:val="single"/>
              <w:left w:color="000000" w:sz="4" w:val="single"/>
              <w:bottom w:color="000000" w:sz="4" w:val="single"/>
              <w:right w:color="000000" w:sz="4" w:val="single"/>
            </w:tcBorders>
          </w:tcPr>
          <w:p/>
        </w:tc>
        <w:tc>
          <w:tcPr>
            <w:tcW w:type="dxa" w:w="2383"/>
            <w:tcBorders>
              <w:top w:sz="4" w:val="nil"/>
              <w:left w:color="000000" w:sz="4" w:val="single"/>
              <w:bottom w:color="000000" w:sz="4" w:val="single"/>
              <w:right w:color="000000" w:sz="4" w:val="single"/>
            </w:tcBorders>
          </w:tcPr>
          <w:p w14:paraId="3C000000">
            <w:pPr>
              <w:pStyle w:val="Style_4"/>
              <w:ind w:hanging="108" w:left="108"/>
              <w:jc w:val="center"/>
              <w:rPr>
                <w:rFonts w:ascii="Times New Roman" w:hAnsi="Times New Roman"/>
                <w:sz w:val="28"/>
              </w:rPr>
            </w:pPr>
          </w:p>
        </w:tc>
        <w:tc>
          <w:tcPr>
            <w:tcW w:type="dxa" w:w="1963"/>
            <w:tcBorders>
              <w:top w:sz="4" w:val="nil"/>
              <w:left w:color="000000" w:sz="4" w:val="single"/>
              <w:bottom w:color="000000" w:sz="4" w:val="single"/>
              <w:right w:color="000000" w:sz="4" w:val="single"/>
            </w:tcBorders>
          </w:tcPr>
          <w:p w14:paraId="3D000000">
            <w:pPr>
              <w:pStyle w:val="Style_4"/>
              <w:ind w:firstLine="108" w:left="-108"/>
              <w:jc w:val="center"/>
              <w:rPr>
                <w:rFonts w:ascii="Times New Roman" w:hAnsi="Times New Roman"/>
                <w:sz w:val="28"/>
              </w:rPr>
            </w:pPr>
          </w:p>
        </w:tc>
        <w:tc>
          <w:tcPr>
            <w:tcW w:type="dxa" w:w="1963"/>
            <w:tcBorders>
              <w:top w:sz="4" w:val="nil"/>
              <w:left w:color="000000" w:sz="4" w:val="single"/>
              <w:bottom w:color="000000" w:sz="4" w:val="single"/>
              <w:right w:color="000000" w:sz="4" w:val="single"/>
            </w:tcBorders>
          </w:tcPr>
          <w:p w14:paraId="3E000000">
            <w:pPr>
              <w:pStyle w:val="Style_4"/>
              <w:ind w:hanging="108" w:left="108"/>
              <w:jc w:val="center"/>
              <w:rPr>
                <w:rFonts w:ascii="Times New Roman" w:hAnsi="Times New Roman"/>
                <w:sz w:val="28"/>
              </w:rPr>
            </w:pPr>
          </w:p>
        </w:tc>
      </w:tr>
      <w:tr>
        <w:tc>
          <w:tcPr>
            <w:tcW w:type="dxa" w:w="3646"/>
            <w:tcBorders>
              <w:top w:sz="4" w:val="nil"/>
              <w:left w:color="000000" w:sz="4" w:val="single"/>
              <w:bottom w:color="000000" w:sz="4" w:val="single"/>
              <w:right w:color="000000" w:sz="4" w:val="single"/>
            </w:tcBorders>
          </w:tcPr>
          <w:p w14:paraId="3F000000">
            <w:pPr>
              <w:pStyle w:val="Style_2"/>
              <w:ind/>
              <w:jc w:val="left"/>
            </w:pPr>
            <w:r>
              <w:t xml:space="preserve">безвозмездные поступления </w:t>
            </w:r>
          </w:p>
        </w:tc>
        <w:tc>
          <w:tcPr>
            <w:tcW w:type="dxa" w:w="2383"/>
            <w:tcBorders>
              <w:top w:sz="4" w:val="nil"/>
              <w:left w:color="000000" w:sz="4" w:val="single"/>
              <w:bottom w:color="000000" w:sz="4" w:val="single"/>
              <w:right w:color="000000" w:sz="4" w:val="single"/>
            </w:tcBorders>
          </w:tcPr>
          <w:p w14:paraId="40000000">
            <w:pPr>
              <w:pStyle w:val="Style_4"/>
              <w:ind w:hanging="108" w:left="108"/>
              <w:jc w:val="center"/>
              <w:rPr>
                <w:rFonts w:ascii="Times New Roman" w:hAnsi="Times New Roman"/>
                <w:sz w:val="28"/>
              </w:rPr>
            </w:pPr>
            <w:r>
              <w:rPr>
                <w:rFonts w:ascii="Times New Roman" w:hAnsi="Times New Roman"/>
                <w:sz w:val="28"/>
              </w:rPr>
              <w:t>53 346,8</w:t>
            </w:r>
          </w:p>
        </w:tc>
        <w:tc>
          <w:tcPr>
            <w:tcW w:type="dxa" w:w="1963"/>
            <w:tcBorders>
              <w:top w:sz="4" w:val="nil"/>
              <w:left w:color="000000" w:sz="4" w:val="single"/>
              <w:bottom w:color="000000" w:sz="4" w:val="single"/>
              <w:right w:color="000000" w:sz="4" w:val="single"/>
            </w:tcBorders>
          </w:tcPr>
          <w:p w14:paraId="41000000">
            <w:pPr>
              <w:pStyle w:val="Style_4"/>
              <w:ind w:firstLine="108" w:left="-108"/>
              <w:jc w:val="center"/>
              <w:rPr>
                <w:rFonts w:ascii="Times New Roman" w:hAnsi="Times New Roman"/>
                <w:sz w:val="28"/>
              </w:rPr>
            </w:pPr>
            <w:r>
              <w:rPr>
                <w:rFonts w:ascii="Times New Roman" w:hAnsi="Times New Roman"/>
                <w:sz w:val="28"/>
              </w:rPr>
              <w:t>36 226,2</w:t>
            </w:r>
          </w:p>
        </w:tc>
        <w:tc>
          <w:tcPr>
            <w:tcW w:type="dxa" w:w="1963"/>
            <w:tcBorders>
              <w:top w:sz="4" w:val="nil"/>
              <w:left w:color="000000" w:sz="4" w:val="single"/>
              <w:bottom w:color="000000" w:sz="4" w:val="single"/>
              <w:right w:color="000000" w:sz="4" w:val="single"/>
            </w:tcBorders>
          </w:tcPr>
          <w:p w14:paraId="42000000">
            <w:pPr>
              <w:pStyle w:val="Style_4"/>
              <w:ind w:hanging="108" w:left="108"/>
              <w:jc w:val="center"/>
              <w:rPr>
                <w:rFonts w:ascii="Times New Roman" w:hAnsi="Times New Roman"/>
                <w:sz w:val="28"/>
              </w:rPr>
            </w:pPr>
            <w:r>
              <w:rPr>
                <w:rFonts w:ascii="Times New Roman" w:hAnsi="Times New Roman"/>
                <w:sz w:val="28"/>
              </w:rPr>
              <w:t>-</w:t>
            </w:r>
          </w:p>
        </w:tc>
      </w:tr>
      <w:tr>
        <w:tc>
          <w:tcPr>
            <w:tcW w:type="dxa" w:w="3646"/>
            <w:tcBorders>
              <w:top w:color="000000" w:sz="4" w:val="single"/>
              <w:left w:color="000000" w:sz="4" w:val="single"/>
              <w:bottom w:color="000000" w:sz="4" w:val="single"/>
              <w:right w:color="000000" w:sz="4" w:val="single"/>
            </w:tcBorders>
            <w:vAlign w:val="center"/>
          </w:tcPr>
          <w:p w14:paraId="43000000">
            <w:pPr>
              <w:pStyle w:val="Style_2"/>
              <w:ind/>
              <w:jc w:val="left"/>
              <w:rPr>
                <w:b w:val="1"/>
              </w:rPr>
            </w:pPr>
            <w:r>
              <w:rPr>
                <w:b w:val="1"/>
              </w:rPr>
              <w:t>II. Расходы, всего</w:t>
            </w:r>
          </w:p>
        </w:tc>
        <w:tc>
          <w:tcPr>
            <w:tcW w:type="dxa" w:w="2383"/>
            <w:tcBorders>
              <w:top w:color="000000" w:sz="4" w:val="single"/>
              <w:left w:color="000000" w:sz="4" w:val="single"/>
              <w:bottom w:color="000000" w:sz="4" w:val="single"/>
              <w:right w:color="000000" w:sz="4" w:val="single"/>
            </w:tcBorders>
          </w:tcPr>
          <w:p w14:paraId="44000000">
            <w:pPr>
              <w:pStyle w:val="Style_4"/>
              <w:ind w:firstLine="0" w:left="0"/>
              <w:jc w:val="center"/>
              <w:rPr>
                <w:rFonts w:ascii="Times New Roman" w:hAnsi="Times New Roman"/>
                <w:b w:val="1"/>
                <w:sz w:val="28"/>
              </w:rPr>
            </w:pPr>
            <w:r>
              <w:rPr>
                <w:rFonts w:ascii="Times New Roman" w:hAnsi="Times New Roman"/>
                <w:b w:val="1"/>
                <w:sz w:val="28"/>
              </w:rPr>
              <w:t>332 555,4</w:t>
            </w:r>
          </w:p>
        </w:tc>
        <w:tc>
          <w:tcPr>
            <w:tcW w:type="dxa" w:w="1963"/>
            <w:tcBorders>
              <w:top w:color="000000" w:sz="4" w:val="single"/>
              <w:left w:color="000000" w:sz="4" w:val="single"/>
              <w:bottom w:color="000000" w:sz="4" w:val="single"/>
              <w:right w:color="000000" w:sz="4" w:val="single"/>
            </w:tcBorders>
          </w:tcPr>
          <w:p w14:paraId="45000000">
            <w:pPr>
              <w:pStyle w:val="Style_4"/>
              <w:ind w:firstLine="108" w:left="-108"/>
              <w:jc w:val="center"/>
              <w:rPr>
                <w:rFonts w:ascii="Times New Roman" w:hAnsi="Times New Roman"/>
                <w:b w:val="1"/>
                <w:sz w:val="28"/>
              </w:rPr>
            </w:pPr>
            <w:r>
              <w:rPr>
                <w:rFonts w:ascii="Times New Roman" w:hAnsi="Times New Roman"/>
                <w:b w:val="1"/>
                <w:sz w:val="28"/>
              </w:rPr>
              <w:t>335 793,0</w:t>
            </w:r>
          </w:p>
        </w:tc>
        <w:tc>
          <w:tcPr>
            <w:tcW w:type="dxa" w:w="1963"/>
            <w:tcBorders>
              <w:top w:color="000000" w:sz="4" w:val="single"/>
              <w:left w:color="000000" w:sz="4" w:val="single"/>
              <w:bottom w:color="000000" w:sz="4" w:val="single"/>
              <w:right w:color="000000" w:sz="4" w:val="single"/>
            </w:tcBorders>
          </w:tcPr>
          <w:p w14:paraId="46000000">
            <w:pPr>
              <w:pStyle w:val="Style_4"/>
              <w:ind w:firstLine="0" w:left="0"/>
              <w:jc w:val="center"/>
              <w:rPr>
                <w:rFonts w:ascii="Times New Roman" w:hAnsi="Times New Roman"/>
                <w:b w:val="1"/>
                <w:sz w:val="28"/>
              </w:rPr>
            </w:pPr>
            <w:r>
              <w:rPr>
                <w:rFonts w:ascii="Times New Roman" w:hAnsi="Times New Roman"/>
                <w:b w:val="1"/>
                <w:sz w:val="28"/>
              </w:rPr>
              <w:t>319 791,</w:t>
            </w:r>
            <w:r>
              <w:rPr>
                <w:rFonts w:ascii="Times New Roman" w:hAnsi="Times New Roman"/>
                <w:b w:val="1"/>
                <w:sz w:val="28"/>
              </w:rPr>
              <w:t>4</w:t>
            </w:r>
          </w:p>
        </w:tc>
      </w:tr>
      <w:tr>
        <w:trPr>
          <w:trHeight w:hRule="atLeast" w:val="657"/>
        </w:trPr>
        <w:tc>
          <w:tcPr>
            <w:tcW w:type="dxa" w:w="3646"/>
            <w:tcBorders>
              <w:top w:color="000000" w:sz="4" w:val="single"/>
              <w:left w:color="000000" w:sz="4" w:val="single"/>
              <w:bottom w:color="000000" w:sz="4" w:val="single"/>
              <w:right w:color="000000" w:sz="4" w:val="single"/>
            </w:tcBorders>
            <w:vAlign w:val="center"/>
          </w:tcPr>
          <w:p w14:paraId="47000000">
            <w:pPr>
              <w:pStyle w:val="Style_2"/>
              <w:ind/>
              <w:jc w:val="left"/>
              <w:rPr>
                <w:b w:val="1"/>
              </w:rPr>
            </w:pPr>
            <w:r>
              <w:rPr>
                <w:b w:val="1"/>
              </w:rPr>
              <w:t>III. Профицит</w:t>
            </w:r>
            <w:r>
              <w:rPr>
                <w:b w:val="1"/>
              </w:rPr>
              <w:t xml:space="preserve"> (+)</w:t>
            </w:r>
          </w:p>
        </w:tc>
        <w:tc>
          <w:tcPr>
            <w:tcW w:type="dxa" w:w="2383"/>
            <w:tcBorders>
              <w:top w:color="000000" w:sz="4" w:val="single"/>
              <w:left w:color="000000" w:sz="4" w:val="single"/>
              <w:bottom w:color="000000" w:sz="4" w:val="single"/>
              <w:right w:color="000000" w:sz="4" w:val="single"/>
            </w:tcBorders>
            <w:vAlign w:val="center"/>
          </w:tcPr>
          <w:p w14:paraId="48000000">
            <w:pPr>
              <w:pStyle w:val="Style_4"/>
              <w:ind w:firstLine="0" w:left="0"/>
              <w:jc w:val="center"/>
              <w:rPr>
                <w:rFonts w:ascii="Times New Roman" w:hAnsi="Times New Roman"/>
                <w:b w:val="1"/>
                <w:sz w:val="28"/>
              </w:rPr>
            </w:pPr>
            <w:r>
              <w:rPr>
                <w:rFonts w:ascii="Times New Roman" w:hAnsi="Times New Roman"/>
                <w:b w:val="1"/>
                <w:sz w:val="28"/>
              </w:rPr>
              <w:t>8 741,0</w:t>
            </w:r>
          </w:p>
        </w:tc>
        <w:tc>
          <w:tcPr>
            <w:tcW w:type="dxa" w:w="1963"/>
            <w:tcBorders>
              <w:top w:color="000000" w:sz="4" w:val="single"/>
              <w:left w:color="000000" w:sz="4" w:val="single"/>
              <w:bottom w:color="000000" w:sz="4" w:val="single"/>
              <w:right w:color="000000" w:sz="4" w:val="single"/>
            </w:tcBorders>
            <w:vAlign w:val="center"/>
          </w:tcPr>
          <w:p w14:paraId="49000000">
            <w:pPr>
              <w:pStyle w:val="Style_4"/>
              <w:ind w:firstLine="108" w:left="-108"/>
              <w:jc w:val="center"/>
              <w:rPr>
                <w:rFonts w:ascii="Times New Roman" w:hAnsi="Times New Roman"/>
                <w:b w:val="1"/>
                <w:sz w:val="28"/>
              </w:rPr>
            </w:pPr>
            <w:r>
              <w:rPr>
                <w:rFonts w:ascii="Times New Roman" w:hAnsi="Times New Roman"/>
                <w:b w:val="1"/>
                <w:sz w:val="28"/>
              </w:rPr>
              <w:t>3 276,4</w:t>
            </w:r>
          </w:p>
        </w:tc>
        <w:tc>
          <w:tcPr>
            <w:tcW w:type="dxa" w:w="1963"/>
            <w:tcBorders>
              <w:top w:color="000000" w:sz="4" w:val="single"/>
              <w:left w:color="000000" w:sz="4" w:val="single"/>
              <w:bottom w:color="000000" w:sz="4" w:val="single"/>
              <w:right w:color="000000" w:sz="4" w:val="single"/>
            </w:tcBorders>
            <w:vAlign w:val="center"/>
          </w:tcPr>
          <w:p w14:paraId="4A000000">
            <w:pPr>
              <w:pStyle w:val="Style_4"/>
              <w:ind w:firstLine="0" w:left="0"/>
              <w:jc w:val="center"/>
              <w:rPr>
                <w:rFonts w:ascii="Times New Roman" w:hAnsi="Times New Roman"/>
                <w:b w:val="1"/>
                <w:sz w:val="28"/>
              </w:rPr>
            </w:pPr>
            <w:r>
              <w:rPr>
                <w:rFonts w:ascii="Times New Roman" w:hAnsi="Times New Roman"/>
                <w:b w:val="1"/>
                <w:sz w:val="28"/>
              </w:rPr>
              <w:t>3 328,4</w:t>
            </w:r>
          </w:p>
        </w:tc>
      </w:tr>
      <w:tr>
        <w:trPr>
          <w:trHeight w:hRule="atLeast" w:val="657"/>
        </w:trPr>
        <w:tc>
          <w:tcPr>
            <w:tcW w:type="dxa" w:w="3646"/>
            <w:tcBorders>
              <w:top w:color="000000" w:sz="4" w:val="single"/>
              <w:left w:color="000000" w:sz="4" w:val="single"/>
              <w:bottom w:color="000000" w:sz="4" w:val="single"/>
              <w:right w:color="000000" w:sz="4" w:val="single"/>
            </w:tcBorders>
          </w:tcPr>
          <w:p w14:paraId="4B000000">
            <w:pPr>
              <w:pStyle w:val="Style_2"/>
              <w:ind/>
              <w:jc w:val="left"/>
              <w:rPr>
                <w:b w:val="1"/>
              </w:rPr>
            </w:pPr>
            <w:r>
              <w:rPr>
                <w:b w:val="1"/>
              </w:rPr>
              <w:t xml:space="preserve"> % дефицита к объему собственных доходов</w:t>
            </w:r>
          </w:p>
        </w:tc>
        <w:tc>
          <w:tcPr>
            <w:tcW w:type="dxa" w:w="2383"/>
            <w:tcBorders>
              <w:top w:color="000000" w:sz="4" w:val="single"/>
              <w:left w:color="000000" w:sz="4" w:val="single"/>
              <w:bottom w:color="000000" w:sz="4" w:val="single"/>
              <w:right w:color="000000" w:sz="4" w:val="single"/>
            </w:tcBorders>
            <w:vAlign w:val="center"/>
          </w:tcPr>
          <w:p w14:paraId="4C000000">
            <w:pPr>
              <w:pStyle w:val="Style_4"/>
              <w:ind w:firstLine="0" w:left="0"/>
              <w:jc w:val="center"/>
              <w:rPr>
                <w:rFonts w:ascii="Times New Roman" w:hAnsi="Times New Roman"/>
                <w:b w:val="1"/>
                <w:sz w:val="28"/>
              </w:rPr>
            </w:pPr>
            <w:r>
              <w:rPr>
                <w:rFonts w:ascii="Times New Roman" w:hAnsi="Times New Roman"/>
                <w:b w:val="1"/>
                <w:sz w:val="28"/>
              </w:rPr>
              <w:t>-</w:t>
            </w:r>
          </w:p>
        </w:tc>
        <w:tc>
          <w:tcPr>
            <w:tcW w:type="dxa" w:w="1963"/>
            <w:tcBorders>
              <w:top w:color="000000" w:sz="4" w:val="single"/>
              <w:left w:color="000000" w:sz="4" w:val="single"/>
              <w:bottom w:color="000000" w:sz="4" w:val="single"/>
              <w:right w:color="000000" w:sz="4" w:val="single"/>
            </w:tcBorders>
            <w:vAlign w:val="center"/>
          </w:tcPr>
          <w:p w14:paraId="4D000000">
            <w:pPr>
              <w:pStyle w:val="Style_4"/>
              <w:ind w:firstLine="108" w:left="-108"/>
              <w:jc w:val="center"/>
              <w:rPr>
                <w:rFonts w:ascii="Times New Roman" w:hAnsi="Times New Roman"/>
                <w:b w:val="1"/>
                <w:sz w:val="28"/>
              </w:rPr>
            </w:pPr>
            <w:r>
              <w:rPr>
                <w:rFonts w:ascii="Times New Roman" w:hAnsi="Times New Roman"/>
                <w:b w:val="1"/>
                <w:sz w:val="28"/>
              </w:rPr>
              <w:t>-</w:t>
            </w:r>
          </w:p>
        </w:tc>
        <w:tc>
          <w:tcPr>
            <w:tcW w:type="dxa" w:w="1963"/>
            <w:tcBorders>
              <w:top w:color="000000" w:sz="4" w:val="single"/>
              <w:left w:color="000000" w:sz="4" w:val="single"/>
              <w:bottom w:color="000000" w:sz="4" w:val="single"/>
              <w:right w:color="000000" w:sz="4" w:val="single"/>
            </w:tcBorders>
            <w:vAlign w:val="center"/>
          </w:tcPr>
          <w:p w14:paraId="4E000000">
            <w:pPr>
              <w:ind/>
              <w:jc w:val="center"/>
              <w:rPr>
                <w:b w:val="1"/>
              </w:rPr>
            </w:pPr>
            <w:r>
              <w:rPr>
                <w:b w:val="1"/>
              </w:rPr>
              <w:t>-</w:t>
            </w:r>
          </w:p>
        </w:tc>
      </w:tr>
      <w:tr>
        <w:tc>
          <w:tcPr>
            <w:tcW w:type="dxa" w:w="3646"/>
            <w:tcBorders>
              <w:top w:color="000000" w:sz="4" w:val="single"/>
              <w:left w:color="000000" w:sz="4" w:val="single"/>
              <w:bottom w:color="000000" w:sz="4" w:val="single"/>
              <w:right w:color="000000" w:sz="4" w:val="single"/>
            </w:tcBorders>
          </w:tcPr>
          <w:p w14:paraId="4F000000">
            <w:pPr>
              <w:pStyle w:val="Style_2"/>
              <w:ind/>
              <w:jc w:val="left"/>
              <w:rPr>
                <w:b w:val="1"/>
              </w:rPr>
            </w:pPr>
            <w:r>
              <w:rPr>
                <w:b w:val="1"/>
              </w:rPr>
              <w:t>VI. Источники финансирования профицита</w:t>
            </w:r>
          </w:p>
        </w:tc>
        <w:tc>
          <w:tcPr>
            <w:tcW w:type="dxa" w:w="2383"/>
            <w:tcBorders>
              <w:top w:color="000000" w:sz="4" w:val="single"/>
              <w:left w:color="000000" w:sz="4" w:val="single"/>
              <w:bottom w:color="000000" w:sz="4" w:val="single"/>
              <w:right w:color="000000" w:sz="4" w:val="single"/>
            </w:tcBorders>
            <w:vAlign w:val="center"/>
          </w:tcPr>
          <w:p w14:paraId="50000000">
            <w:pPr>
              <w:pStyle w:val="Style_4"/>
              <w:ind w:firstLine="0" w:left="0"/>
              <w:jc w:val="center"/>
              <w:rPr>
                <w:rFonts w:ascii="Times New Roman" w:hAnsi="Times New Roman"/>
                <w:b w:val="1"/>
                <w:sz w:val="28"/>
              </w:rPr>
            </w:pPr>
            <w:r>
              <w:rPr>
                <w:rFonts w:ascii="Times New Roman" w:hAnsi="Times New Roman"/>
                <w:b w:val="1"/>
                <w:sz w:val="28"/>
              </w:rPr>
              <w:t>– 8 741,0</w:t>
            </w:r>
          </w:p>
        </w:tc>
        <w:tc>
          <w:tcPr>
            <w:tcW w:type="dxa" w:w="1963"/>
            <w:tcBorders>
              <w:top w:color="000000" w:sz="4" w:val="single"/>
              <w:left w:color="000000" w:sz="4" w:val="single"/>
              <w:bottom w:color="000000" w:sz="4" w:val="single"/>
              <w:right w:color="000000" w:sz="4" w:val="single"/>
            </w:tcBorders>
            <w:vAlign w:val="center"/>
          </w:tcPr>
          <w:p w14:paraId="51000000">
            <w:pPr>
              <w:pStyle w:val="Style_4"/>
              <w:ind w:firstLine="108" w:left="-108"/>
              <w:jc w:val="center"/>
              <w:rPr>
                <w:rFonts w:ascii="Times New Roman" w:hAnsi="Times New Roman"/>
                <w:b w:val="1"/>
                <w:sz w:val="28"/>
              </w:rPr>
            </w:pPr>
            <w:r>
              <w:rPr>
                <w:rFonts w:ascii="Times New Roman" w:hAnsi="Times New Roman"/>
                <w:b w:val="1"/>
                <w:sz w:val="28"/>
              </w:rPr>
              <w:t>– 3 276,4</w:t>
            </w:r>
          </w:p>
        </w:tc>
        <w:tc>
          <w:tcPr>
            <w:tcW w:type="dxa" w:w="1963"/>
            <w:tcBorders>
              <w:top w:color="000000" w:sz="4" w:val="single"/>
              <w:left w:color="000000" w:sz="4" w:val="single"/>
              <w:bottom w:color="000000" w:sz="4" w:val="single"/>
              <w:right w:color="000000" w:sz="4" w:val="single"/>
            </w:tcBorders>
            <w:vAlign w:val="center"/>
          </w:tcPr>
          <w:p w14:paraId="52000000">
            <w:pPr>
              <w:pStyle w:val="Style_4"/>
              <w:ind w:firstLine="0" w:left="0"/>
              <w:jc w:val="center"/>
              <w:rPr>
                <w:rFonts w:ascii="Times New Roman" w:hAnsi="Times New Roman"/>
                <w:b w:val="1"/>
                <w:sz w:val="28"/>
              </w:rPr>
            </w:pPr>
            <w:r>
              <w:rPr>
                <w:rFonts w:ascii="Times New Roman" w:hAnsi="Times New Roman"/>
                <w:b w:val="1"/>
                <w:sz w:val="28"/>
              </w:rPr>
              <w:t>– 3 328,4</w:t>
            </w:r>
          </w:p>
        </w:tc>
      </w:tr>
    </w:tbl>
    <w:p w14:paraId="53000000">
      <w:pPr>
        <w:pStyle w:val="Style_2"/>
        <w:ind w:firstLine="709" w:left="0"/>
        <w:jc w:val="both"/>
        <w:rPr>
          <w:sz w:val="24"/>
        </w:rPr>
      </w:pPr>
    </w:p>
    <w:p w14:paraId="54000000">
      <w:pPr>
        <w:ind w:firstLine="709" w:left="0"/>
        <w:jc w:val="both"/>
      </w:pPr>
      <w:r>
        <w:t xml:space="preserve">Параметры областного бюджета по доходам и расходам подтверждены расчетами, сформированными на основе соответствующих методик, с учетом соблюдения ограничений по государственному долгу и дефициту, установленных бюджетным законодательством. </w:t>
      </w:r>
    </w:p>
    <w:p w14:paraId="55000000">
      <w:pPr>
        <w:ind w:firstLine="709" w:left="0"/>
        <w:jc w:val="both"/>
      </w:pPr>
      <w:r>
        <w:t>Доходы областного бюджета предусмотрены на</w:t>
      </w:r>
      <w:r>
        <w:t xml:space="preserve"> 2025 год в объеме 341 296,4 млн</w:t>
      </w:r>
      <w:r>
        <w:t xml:space="preserve"> рублей, на 2026 и 2027 годы доходы планируются  в объеме 339 069,4 млн рублей и 323 119,8 млн рублей, соответственно. Снижение доходных источников в 2026-2027 годах в 1 чтении объясняется особенностями планирования безвозмездных поступлений из федерального бюджета, большая часть которых будет уточнена ко 2 чтению.</w:t>
      </w:r>
    </w:p>
    <w:p w14:paraId="56000000">
      <w:pPr>
        <w:ind w:firstLine="709" w:left="0"/>
        <w:jc w:val="both"/>
      </w:pPr>
      <w:r>
        <w:t>Собственные налоговые и неналоговые доходы областного бюджета на 2025 год прогнозируются</w:t>
      </w:r>
      <w:r>
        <w:t xml:space="preserve"> в объеме 287 949,6 млн рублей. </w:t>
      </w:r>
      <w:r>
        <w:t>На плановый период 2026 и 2027 годов объем собственных поступлений планируется в сумме 302</w:t>
      </w:r>
      <w:r>
        <w:t> </w:t>
      </w:r>
      <w:r>
        <w:t>843,2</w:t>
      </w:r>
      <w:r>
        <w:t> </w:t>
      </w:r>
      <w:r>
        <w:t>млн</w:t>
      </w:r>
      <w:r>
        <w:t> </w:t>
      </w:r>
      <w:r>
        <w:t>рублей и 323 119,8 млн рублей, соответственно</w:t>
      </w:r>
      <w:r>
        <w:t>.</w:t>
      </w:r>
    </w:p>
    <w:p w14:paraId="57000000">
      <w:pPr>
        <w:ind w:firstLine="709" w:left="0"/>
        <w:jc w:val="both"/>
      </w:pPr>
      <w:r>
        <w:t xml:space="preserve">Безвозмездные поступления предлагаются к 1 чтению в объемах, утвержденных на плановый период 2025-2026 годов Областным законом от 14.12.2024 № 58-ЗС «Об областном бюджете на 2024 год и на плановый период 2025 и 2026 годов». В соответствии с проектом федерального бюджета </w:t>
      </w:r>
      <w:r>
        <w:br/>
      </w:r>
      <w:r>
        <w:t>на 2025 – 2027 годы безвозмездные поступления областного бюджета будут уточнены ко 2 чтению.</w:t>
      </w:r>
    </w:p>
    <w:p w14:paraId="58000000">
      <w:pPr>
        <w:ind w:firstLine="709" w:left="0"/>
        <w:jc w:val="both"/>
        <w:rPr>
          <w:rStyle w:val="Style_2_ch"/>
        </w:rPr>
      </w:pPr>
      <w:r>
        <w:t>Расходы областного бюджета на 2025 год запланированы в объеме 332</w:t>
      </w:r>
      <w:r>
        <w:t> </w:t>
      </w:r>
      <w:r>
        <w:t>555,4</w:t>
      </w:r>
      <w:r>
        <w:t> </w:t>
      </w:r>
      <w:r>
        <w:t>млн рублей</w:t>
      </w:r>
      <w:r>
        <w:t xml:space="preserve"> с увеличением к 1 чтению 2024 года на 10,8 процента</w:t>
      </w:r>
      <w:r>
        <w:t xml:space="preserve">. Заявленные главными распорядителями бюджетных средств расходы учтены с ростом к </w:t>
      </w:r>
      <w:r>
        <w:t xml:space="preserve">объемам проекта бюджета на 2024 год к 1 чтению </w:t>
      </w:r>
      <w:r>
        <w:t xml:space="preserve">на </w:t>
      </w:r>
      <w:r>
        <w:t>18,0</w:t>
      </w:r>
      <w:r>
        <w:t xml:space="preserve"> процент</w:t>
      </w:r>
      <w:r>
        <w:t>ов</w:t>
      </w:r>
      <w:r>
        <w:t xml:space="preserve">. </w:t>
      </w:r>
      <w:r>
        <w:rPr>
          <w:rStyle w:val="Style_2_ch"/>
        </w:rPr>
        <w:t>Ко</w:t>
      </w:r>
      <w:r>
        <w:rPr>
          <w:rStyle w:val="Style_2_ch"/>
        </w:rPr>
        <w:t> </w:t>
      </w:r>
      <w:r>
        <w:rPr>
          <w:rStyle w:val="Style_2_ch"/>
        </w:rPr>
        <w:t xml:space="preserve">2 чтению проекта бюджета объем бюджетных ассигнований увеличится за счет распределения средств из федерального бюджета, в том числе на реализацию новых национальных проектов. </w:t>
      </w:r>
    </w:p>
    <w:p w14:paraId="59000000">
      <w:pPr>
        <w:ind w:firstLine="709" w:left="0"/>
        <w:jc w:val="both"/>
      </w:pPr>
      <w:r>
        <w:t xml:space="preserve">В условиях применения взвешенных подходов при планировании областного бюджета </w:t>
      </w:r>
      <w:r>
        <w:t xml:space="preserve">проектом </w:t>
      </w:r>
      <w:r>
        <w:t>запланирован резерв на приоритетные направления расходов в 2025 году - 15,5 млрд рублей, а также условно утвержденные  расходы в плановом периоде 2026 и 2027 годов.</w:t>
      </w:r>
    </w:p>
    <w:p w14:paraId="5A000000">
      <w:pPr>
        <w:ind w:firstLine="709" w:left="0"/>
        <w:jc w:val="both"/>
      </w:pPr>
      <w:r>
        <w:t xml:space="preserve">Параметры бюджета по доходам и расходам, предлагаемые </w:t>
      </w:r>
      <w:r>
        <w:t>в законопроекте</w:t>
      </w:r>
      <w:r>
        <w:t xml:space="preserve">, с учетом </w:t>
      </w:r>
      <w:r>
        <w:t>необходимости наличия доходных источников для погашения  бюджетных и банковских кредитов, сформированы с профицитом в 2025 году в объеме 8 741,0 млн рублей, в 2026 и 2027 годах в объеме 3 276,4 м</w:t>
      </w:r>
      <w:r>
        <w:t>лн рублей и 3</w:t>
      </w:r>
      <w:r>
        <w:t> </w:t>
      </w:r>
      <w:r>
        <w:t xml:space="preserve">328,4 млн рублей </w:t>
      </w:r>
      <w:r>
        <w:t>соответственно.</w:t>
      </w:r>
    </w:p>
    <w:p w14:paraId="5B000000">
      <w:pPr>
        <w:ind w:firstLine="709" w:left="0"/>
        <w:jc w:val="both"/>
      </w:pPr>
      <w:r>
        <w:t>Привлечение кредитных источников в коммерческих банках не планируется.</w:t>
      </w:r>
    </w:p>
    <w:p w14:paraId="5C000000">
      <w:pPr>
        <w:ind w:firstLine="709" w:left="0"/>
        <w:jc w:val="both"/>
      </w:pPr>
      <w:r>
        <w:t>В 2025 году запланировано привлечение инфраструктурного бюджетного кредита на строительство автомобильной дороги «Северный радиус» в составе Ростовского транспортного кольца в размере 727,6 млн рублей. Кроме того, в предстоящем бюджетном цикле Ростовская область рассчитывает на получение дополнительной поддержки в виде инфраструктурных бюджетных кредитов, которые будут учтены в областном бюджете после их распределения на федеральном уровне.</w:t>
      </w:r>
    </w:p>
    <w:p w14:paraId="5D000000">
      <w:pPr>
        <w:widowControl w:val="0"/>
        <w:ind w:firstLine="709" w:left="0"/>
        <w:jc w:val="both"/>
      </w:pPr>
      <w:r>
        <w:t>Для поддержания текущей ликвидности в течение года планируется использование таких инструментов, как управление остатками средств на едином счете областного бюджета, а также привлечение краткосрочных бюджетных кредитов на пополнение остатка средств на едином счете областного бюджета, предоставляемых Управлением Федерального казначейства по Ростовской области.</w:t>
      </w:r>
    </w:p>
    <w:p w14:paraId="5E000000">
      <w:pPr>
        <w:ind w:firstLine="709" w:left="0"/>
        <w:jc w:val="both"/>
      </w:pPr>
      <w:r>
        <w:t>Основные показатели проекта областного бюджета по доходам и расходам представлены в приложении 1 к настоящей пояснительной записке.</w:t>
      </w:r>
    </w:p>
    <w:p w14:paraId="5F000000">
      <w:pPr>
        <w:tabs>
          <w:tab w:leader="none" w:pos="720" w:val="left"/>
        </w:tabs>
        <w:ind/>
        <w:jc w:val="center"/>
        <w:rPr>
          <w:b w:val="1"/>
        </w:rPr>
      </w:pPr>
      <w:bookmarkStart w:id="1" w:name="_GoBack"/>
      <w:bookmarkEnd w:id="1"/>
    </w:p>
    <w:p w14:paraId="60000000">
      <w:pPr>
        <w:tabs>
          <w:tab w:leader="none" w:pos="720" w:val="left"/>
        </w:tabs>
        <w:ind/>
        <w:jc w:val="center"/>
        <w:rPr>
          <w:b w:val="1"/>
        </w:rPr>
      </w:pPr>
      <w:r>
        <w:rPr>
          <w:b w:val="1"/>
        </w:rPr>
        <w:t>III. Доходы областного бюджета на 2025-2027 годы</w:t>
      </w:r>
    </w:p>
    <w:p w14:paraId="61000000">
      <w:pPr>
        <w:ind w:firstLine="709" w:left="0"/>
        <w:jc w:val="both"/>
      </w:pPr>
    </w:p>
    <w:p w14:paraId="62000000">
      <w:pPr>
        <w:tabs>
          <w:tab w:leader="none" w:pos="720" w:val="left"/>
        </w:tabs>
        <w:ind w:firstLine="709" w:left="0"/>
        <w:jc w:val="both"/>
      </w:pPr>
      <w:r>
        <w:t>Основу доходов областного бюджета составляют собственные налоговые и неналоговые доходы.</w:t>
      </w:r>
    </w:p>
    <w:p w14:paraId="63000000">
      <w:pPr>
        <w:tabs>
          <w:tab w:leader="none" w:pos="720" w:val="left"/>
        </w:tabs>
        <w:ind w:firstLine="709" w:left="0"/>
        <w:jc w:val="both"/>
      </w:pPr>
      <w:r>
        <w:t>Собственные налоговые и неналоговые доходы областного бюджета сформированы на основе прогноза социально-экономического развития Ростовской области на 2025 год и на плановый период 2026 и 2027 годов, основных направлений бюджетной и налоговой политики Ростовской области на 2025-2027 годы,</w:t>
      </w:r>
      <w:r>
        <w:t xml:space="preserve"> </w:t>
      </w:r>
      <w:r>
        <w:t>с учетом действующего бюджетного и налогового законодательства Российской Федерации и Ростовской области, а также изменений, вступающих в силу с 1 января 2025 года</w:t>
      </w:r>
      <w:r>
        <w:t>, на основе прогнозных данных, представленных главными администраторами доходов областного бюджета, рассчитанных в соответствии с Методиками прогнозирования поступлений.</w:t>
      </w:r>
    </w:p>
    <w:p w14:paraId="64000000">
      <w:pPr>
        <w:ind w:firstLine="709" w:left="0"/>
        <w:jc w:val="both"/>
      </w:pPr>
      <w:r>
        <w:t>В общем объеме собственных доходов наибольший удельный вес занимают: налог на доходы физических лиц - 34,8 процента (100 157,4 млн рублей); налог на прибыль организаций - 34,7 процента (99 809,6 млн рублей); акцизы по подакцизным товарам (продукции), производимым на территории Российской Федерации, - 11,3 процента (32 661,5 млн рублей); налоги на совокупный доход - 11,2 процента (32 369,4 млн рублей);</w:t>
      </w:r>
      <w:r>
        <w:t xml:space="preserve"> налоги на имущество - 6,7 процента (19 182,0 млн рублей).</w:t>
      </w:r>
    </w:p>
    <w:p w14:paraId="65000000">
      <w:pPr>
        <w:tabs>
          <w:tab w:leader="none" w:pos="720" w:val="left"/>
        </w:tabs>
        <w:ind w:firstLine="709" w:left="0"/>
        <w:jc w:val="both"/>
        <w:rPr>
          <w:highlight w:val="yellow"/>
        </w:rPr>
      </w:pPr>
    </w:p>
    <w:p w14:paraId="66000000">
      <w:pPr>
        <w:ind/>
        <w:jc w:val="center"/>
        <w:rPr>
          <w:b w:val="1"/>
        </w:rPr>
      </w:pPr>
      <w:r>
        <w:rPr>
          <w:b w:val="1"/>
        </w:rPr>
        <w:t xml:space="preserve"> Особенности формирования и основные характеристики</w:t>
      </w:r>
    </w:p>
    <w:p w14:paraId="67000000">
      <w:pPr>
        <w:ind/>
        <w:jc w:val="center"/>
        <w:rPr>
          <w:b w:val="1"/>
        </w:rPr>
      </w:pPr>
      <w:r>
        <w:rPr>
          <w:b w:val="1"/>
        </w:rPr>
        <w:t xml:space="preserve"> налоговых и неналоговых доходов областного бюджета </w:t>
      </w:r>
    </w:p>
    <w:p w14:paraId="68000000">
      <w:pPr>
        <w:ind w:firstLine="708" w:left="0"/>
        <w:jc w:val="center"/>
        <w:rPr>
          <w:b w:val="1"/>
          <w:sz w:val="18"/>
          <w:highlight w:val="yellow"/>
        </w:rPr>
      </w:pPr>
    </w:p>
    <w:p w14:paraId="69000000">
      <w:pPr>
        <w:ind w:firstLine="709" w:left="0"/>
        <w:jc w:val="both"/>
      </w:pPr>
      <w:r>
        <w:t>Прогнозирование налоговых и неналоговых доходов областного бюджета осуществлялось в условиях реализуемого Правительством Ростовской области комплекса мер, способствующих ограничению влияния негативных факторов и обеспечения устойчивого социально-экономического развития региона в условиях внешнего санкционного давления, и направленных на развитие малого и среднего предпринимательства, росту инвестиционной активности, повышению уровня жизни населения.</w:t>
      </w:r>
    </w:p>
    <w:p w14:paraId="6A000000">
      <w:pPr>
        <w:ind w:firstLine="709" w:left="0"/>
        <w:jc w:val="both"/>
      </w:pPr>
      <w:r>
        <w:t>Собственные доходы областного бюджета в 2025 году и плановом периоде 2026 и 2027 годов прогнозируются в объеме 287 949,6 млн рублей, 302 843,2 млн рублей и 323 119,8 млн рублей соответственно. По сравнению с уточненным планом 2024 года рост в 2025 году составит 8,7 процента (рост в 2026 году по сравнению с 2025 годом составит 5,2 процента и в 2027 году по сравнению с 2026 годом - 6,7 процента).</w:t>
      </w:r>
    </w:p>
    <w:p w14:paraId="6B000000">
      <w:pPr>
        <w:ind w:firstLine="709" w:left="0"/>
        <w:jc w:val="both"/>
      </w:pPr>
      <w:r>
        <w:t>Прогноз налоговых и неналоговых поступлений на 2025 год и плановый период 2026 и 2027 годов формировался с учетом:</w:t>
      </w:r>
    </w:p>
    <w:p w14:paraId="6C000000">
      <w:pPr>
        <w:ind w:firstLine="709" w:left="0"/>
        <w:jc w:val="both"/>
      </w:pPr>
      <w:r>
        <w:t>- показателей прогноза социально-экономического развития Ростовской области на 2025-2027 годы (Распоряжение Правительства Ростовской области от 19.07.2024 № 544);</w:t>
      </w:r>
    </w:p>
    <w:p w14:paraId="6D000000">
      <w:pPr>
        <w:ind w:firstLine="709" w:left="0"/>
        <w:jc w:val="both"/>
      </w:pPr>
      <w:r>
        <w:t>- информации органов государственной статистики о социально-экономическом положении Ростовской области в текущем году;</w:t>
      </w:r>
    </w:p>
    <w:p w14:paraId="6E000000">
      <w:pPr>
        <w:ind w:firstLine="709" w:left="0"/>
        <w:jc w:val="both"/>
      </w:pPr>
      <w:r>
        <w:t>- фактически сложившейся динамики поступлений по текущему году.</w:t>
      </w:r>
    </w:p>
    <w:p w14:paraId="6F000000">
      <w:pPr>
        <w:ind w:firstLine="709" w:left="0"/>
        <w:jc w:val="both"/>
      </w:pPr>
      <w:r>
        <w:t>При прогнозировании объема доходов областного бюджета также учтены изменения бюджетного и налогового законодательства Российской Федерации, как действующие, так и вступающие в силу с 1 января 2025 года:</w:t>
      </w:r>
    </w:p>
    <w:p w14:paraId="70000000">
      <w:pPr>
        <w:ind w:firstLine="709" w:left="0"/>
        <w:jc w:val="both"/>
      </w:pPr>
      <w:r>
        <w:t>- с 2023 года прекращение действия института консолидированных групп налогоплательщиков налога на прибыль организаций;</w:t>
      </w:r>
    </w:p>
    <w:p w14:paraId="71000000">
      <w:pPr>
        <w:ind w:firstLine="709" w:left="0"/>
        <w:jc w:val="both"/>
      </w:pPr>
      <w:r>
        <w:t>- рост ставок акцизов на алкогольную продукцию с 2025 года (в среднем на 4,7 процента);</w:t>
      </w:r>
    </w:p>
    <w:p w14:paraId="72000000">
      <w:pPr>
        <w:ind w:firstLine="709" w:left="0"/>
        <w:jc w:val="both"/>
      </w:pPr>
      <w:r>
        <w:t>- сохранение норматива зачисления доходов от уплаты акцизов на нефтепродукты в региональный бюджет на 2025-2026 годы от ранее установленного (на уровне 2024 года - 74,9 процентов, ранее планировалась поэтапная передача акцизов на нефтепродукты из федерального в региональные бюджеты - в 2024 году - 100 процентов).</w:t>
      </w:r>
    </w:p>
    <w:p w14:paraId="73000000">
      <w:pPr>
        <w:tabs>
          <w:tab w:leader="none" w:pos="720" w:val="left"/>
        </w:tabs>
        <w:ind w:firstLine="709" w:left="0"/>
        <w:jc w:val="both"/>
      </w:pPr>
      <w:r>
        <w:t>При формировании параметров областного бюджета по доходам учтены мероприятия Плана по росту доходного потенциала Ростовской области.</w:t>
      </w:r>
    </w:p>
    <w:p w14:paraId="74000000">
      <w:pPr>
        <w:tabs>
          <w:tab w:leader="none" w:pos="851" w:val="left"/>
        </w:tabs>
        <w:ind w:firstLine="709" w:left="0"/>
        <w:jc w:val="both"/>
      </w:pPr>
      <w:r>
        <w:t>Плановые значения по доходам б</w:t>
      </w:r>
      <w:r>
        <w:t>юджет</w:t>
      </w:r>
      <w:r>
        <w:t>а</w:t>
      </w:r>
      <w:r>
        <w:t xml:space="preserve"> сформирован</w:t>
      </w:r>
      <w:r>
        <w:t>ы</w:t>
      </w:r>
      <w:r>
        <w:t xml:space="preserve"> на основе данных</w:t>
      </w:r>
      <w:r>
        <w:t>, представленны</w:t>
      </w:r>
      <w:r>
        <w:t>х</w:t>
      </w:r>
      <w:r>
        <w:t xml:space="preserve"> главными администраторами доходов - органами государственной власти Российской Федерации, основным из которых является  Управление Федеральной налоговой </w:t>
      </w:r>
      <w:r>
        <w:t>службы по Ростовской области,</w:t>
      </w:r>
      <w:r>
        <w:t xml:space="preserve"> и государственными органами Ростовской области в рамках осуществляемых ими полномочий.</w:t>
      </w:r>
    </w:p>
    <w:p w14:paraId="75000000">
      <w:pPr>
        <w:ind/>
        <w:jc w:val="center"/>
        <w:rPr>
          <w:b w:val="1"/>
          <w:i w:val="1"/>
        </w:rPr>
      </w:pPr>
    </w:p>
    <w:p w14:paraId="76000000">
      <w:pPr>
        <w:ind/>
        <w:jc w:val="center"/>
        <w:rPr>
          <w:b w:val="1"/>
          <w:i w:val="1"/>
        </w:rPr>
      </w:pPr>
      <w:r>
        <w:rPr>
          <w:b w:val="1"/>
          <w:i w:val="1"/>
        </w:rPr>
        <w:t>Налог на прибыль организаций</w:t>
      </w:r>
    </w:p>
    <w:p w14:paraId="77000000">
      <w:pPr>
        <w:ind/>
        <w:jc w:val="center"/>
        <w:rPr>
          <w:b w:val="1"/>
          <w:i w:val="1"/>
        </w:rPr>
      </w:pPr>
    </w:p>
    <w:p w14:paraId="78000000">
      <w:pPr>
        <w:ind w:firstLine="709" w:left="0"/>
        <w:jc w:val="both"/>
      </w:pPr>
      <w:r>
        <w:t>Объем</w:t>
      </w:r>
      <w:r>
        <w:t xml:space="preserve"> поступлений по налогу на прибыль организаций в бюджет области прогнозируется на 2025 год в сумме 99 809,6 млн рублей, на 2026-2027 годы - 102 728,6 млн рублей и 110 023,5 млн рублей соответственно.</w:t>
      </w:r>
    </w:p>
    <w:p w14:paraId="79000000">
      <w:pPr>
        <w:ind w:firstLine="709" w:left="0"/>
        <w:jc w:val="both"/>
      </w:pPr>
      <w:r>
        <w:t>В 2025 году по сравнению с уточненным планом 2024 года объем поступлений увеличится на 9 129,3 млн рублей или на 10,1 процента. Прогноз на 2025 год сформирован в условиях сложившейся экономической ситуации с учетом финансовых результатов текущего финансового года.</w:t>
      </w:r>
    </w:p>
    <w:p w14:paraId="7A000000">
      <w:pPr>
        <w:widowControl w:val="0"/>
        <w:ind w:firstLine="709" w:left="0"/>
        <w:jc w:val="both"/>
      </w:pPr>
      <w:r>
        <w:t>В 2026 году по сравнению с 2025 годом увеличение поступлений на 2 919,0 млн рублей или на 2,9 процента и в</w:t>
      </w:r>
      <w:r>
        <w:t xml:space="preserve"> 2027 году по сравнению с 2026 годом увеличение поступлений на 7 294,9 млн рублей или на 7,1 процента с учетом уровня экономической активности в регионе на основании показателей социально-экономического развития Ростовской области на 2025-2027 годы</w:t>
      </w:r>
      <w:r>
        <w:t>.</w:t>
      </w:r>
      <w:r>
        <w:t xml:space="preserve"> Темп</w:t>
      </w:r>
      <w:r>
        <w:t> </w:t>
      </w:r>
      <w:r>
        <w:t>роста прибыли прибыльных предприятий на 2025-2027 годы - 111,1 процента, 110,0 процента и 109,7 процента соответственно (Распоряжение Правительства Ростовской области от 19.07.2024 № 544).</w:t>
      </w:r>
    </w:p>
    <w:p w14:paraId="7B000000">
      <w:pPr>
        <w:ind w:firstLine="709" w:left="0"/>
        <w:jc w:val="both"/>
        <w:rPr>
          <w:highlight w:val="yellow"/>
        </w:rPr>
      </w:pPr>
      <w:r>
        <w:t xml:space="preserve">В прогнозе на 2025-2027 годы учтено окончание </w:t>
      </w:r>
      <w:r>
        <w:t>срока действия института консолидированных групп налогоплательщиков</w:t>
      </w:r>
      <w:r>
        <w:t xml:space="preserve"> с 1 января 2023 года (Федеральный закон от 03.08.2018 № 302-ФЗ «О внесении изменений в части первую и вторую Налогового кодекса Российской Федерации»). Прогноз поступлений доходов от уплаты распределяемого налога на прибыль организаций, подлежащего зачислению в бюджеты субъектов Российской Федерации,</w:t>
      </w:r>
      <w:r>
        <w:br/>
      </w:r>
      <w:r>
        <w:t>на 2026-2027 годы не составляется, в связи с отсутствием в Законе о федеральном бюджете нормативов распределения доходов между субъектами Российской Федерации на 2026-2027 годы.</w:t>
      </w:r>
    </w:p>
    <w:p w14:paraId="7C000000">
      <w:pPr>
        <w:ind w:firstLine="709" w:left="0"/>
        <w:jc w:val="both"/>
      </w:pPr>
      <w:r>
        <w:t>В основу расчета поступления налога на прибыль организаций приняты прогнозируемые на 2025-2027 годы объемы налоговых баз (прибыль (доходы минус расходы) организаций, подлежащая налогообложению) и налоговая ставка, установленная статьей 284 Налогового кодекса Российской Федерации.</w:t>
      </w:r>
    </w:p>
    <w:p w14:paraId="7D000000">
      <w:pPr>
        <w:ind w:firstLine="709" w:left="0"/>
        <w:jc w:val="both"/>
      </w:pPr>
      <w:r>
        <w:t>Налоговая ставка установлена Налоговым кодексом Российской Федерации в размере 25 процентов. В региональные бюджеты подлежит зачислению по нормативу 100 процентов сумма налога, исчисленная по налоговой ставке в размере 17 процентов в 2025-2027 годах.</w:t>
      </w:r>
    </w:p>
    <w:p w14:paraId="7E000000">
      <w:pPr>
        <w:ind w:firstLine="709" w:left="0"/>
        <w:jc w:val="both"/>
      </w:pPr>
      <w:r>
        <w:t>Областным законом от 10.05.2012 № 843-ЗС «О региональных налогах и некоторых вопросах налогообложения в Ростовской области» установлены пониженные налоговые ставки в части сумм, зачисляемых в областной бюджет, в размере:</w:t>
      </w:r>
    </w:p>
    <w:p w14:paraId="7F000000">
      <w:pPr>
        <w:widowControl w:val="0"/>
        <w:spacing w:line="228" w:lineRule="auto"/>
        <w:ind w:firstLine="709" w:left="0"/>
        <w:jc w:val="both"/>
      </w:pPr>
      <w:r>
        <w:t xml:space="preserve">0 процентов - первые 5 лет, 5 процентов - последующие 5 лет и 13,5 процентов по истечении 10 последовательных налоговых периодов для резидентов особой экономической зоны; </w:t>
      </w:r>
    </w:p>
    <w:p w14:paraId="80000000">
      <w:pPr>
        <w:widowControl w:val="0"/>
        <w:spacing w:line="228" w:lineRule="auto"/>
        <w:ind w:firstLine="709" w:left="0"/>
        <w:jc w:val="both"/>
      </w:pPr>
      <w:r>
        <w:t>0 процентов на 5 лет с момента получения первой прибыли и 10 процентов с</w:t>
      </w:r>
      <w:r>
        <w:t> </w:t>
      </w:r>
      <w:r>
        <w:t xml:space="preserve">6 по 10 годы включительно для резидентов территорий опережающего развития; </w:t>
      </w:r>
    </w:p>
    <w:p w14:paraId="81000000">
      <w:pPr>
        <w:ind w:firstLine="709" w:left="0"/>
        <w:jc w:val="both"/>
      </w:pPr>
      <w:r>
        <w:t>0 процентов организациям, признанным участниками специальных инвестиционных контрактов;</w:t>
      </w:r>
    </w:p>
    <w:p w14:paraId="82000000">
      <w:pPr>
        <w:ind w:firstLine="709" w:left="0"/>
        <w:jc w:val="both"/>
      </w:pPr>
      <w:r>
        <w:t>10 процентов</w:t>
      </w:r>
      <w:r>
        <w:t xml:space="preserve"> д</w:t>
      </w:r>
      <w:r>
        <w:t>ля участников регионального инвестиционного проекта.</w:t>
      </w:r>
    </w:p>
    <w:p w14:paraId="83000000">
      <w:pPr>
        <w:ind w:firstLine="709" w:left="0"/>
        <w:jc w:val="both"/>
      </w:pPr>
      <w:r>
        <w:t>Прогноз налогооблагаемой базы рассчитан Управлением Федеральной налоговой службы по Ростовской области на о</w:t>
      </w:r>
      <w:r>
        <w:t>снове комплексного анализа сложившейся ситуации в экономике области в текущем году, а также особенностей функционирования и тенденций развития предприятий и организаций, осуществляющих различные виды деятельности на территории области, в соответствии с Методикой прогнозирования поступлений доходов в бюджет области.</w:t>
      </w:r>
    </w:p>
    <w:p w14:paraId="84000000">
      <w:pPr>
        <w:ind w:firstLine="709" w:left="0"/>
        <w:jc w:val="both"/>
      </w:pPr>
      <w:r>
        <w:t>При формировании прогнозного объема поступлений по налогу на прибыль организаций учтена действующая на период 2025 - 2027 годов ставка налога 17</w:t>
      </w:r>
      <w:r>
        <w:t> </w:t>
      </w:r>
      <w:r>
        <w:t>процентов. Расчет произведен отдельно по каждому виду дохода:</w:t>
      </w:r>
    </w:p>
    <w:p w14:paraId="85000000">
      <w:pPr>
        <w:ind w:firstLine="709" w:left="0"/>
        <w:jc w:val="both"/>
      </w:pPr>
      <w:r>
        <w:t>- по организациям, зарегистрированным на территории Ростовской области, (головным);</w:t>
      </w:r>
    </w:p>
    <w:p w14:paraId="86000000">
      <w:pPr>
        <w:ind w:firstLine="709" w:left="0"/>
        <w:jc w:val="both"/>
      </w:pPr>
      <w:r>
        <w:t>- по обособленным подразделениям, головные организации которых расположены за пределами Ростовской области;</w:t>
      </w:r>
    </w:p>
    <w:p w14:paraId="87000000">
      <w:pPr>
        <w:ind w:firstLine="709" w:left="0"/>
        <w:jc w:val="both"/>
      </w:pPr>
      <w:r>
        <w:t>- по организациям, которые до 1 января 2023 года являлись участниками консолидированных групп налогоплательщиков.</w:t>
      </w:r>
    </w:p>
    <w:p w14:paraId="88000000">
      <w:pPr>
        <w:ind w:firstLine="709" w:left="0"/>
        <w:jc w:val="both"/>
      </w:pPr>
      <w:r>
        <w:t xml:space="preserve">Также при формировании прогнозного объема поступлений </w:t>
      </w:r>
      <w:r>
        <w:t>учтены</w:t>
      </w:r>
      <w:r>
        <w:t>:</w:t>
      </w:r>
    </w:p>
    <w:p w14:paraId="89000000">
      <w:pPr>
        <w:ind w:firstLine="709" w:left="0"/>
        <w:jc w:val="both"/>
      </w:pPr>
      <w:r>
        <w:t>- в налогооблагаемой базе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Областного закона от 10.05.2012 № 843-ЗС «О региональных налогах и некоторых вопросах налогообложения в Ростовской области»;</w:t>
      </w:r>
    </w:p>
    <w:p w14:paraId="8A000000">
      <w:pPr>
        <w:ind w:firstLine="709" w:left="0"/>
        <w:jc w:val="both"/>
      </w:pPr>
      <w:r>
        <w:t>- суммы поступлений, обусловленные изменениями законодательства о</w:t>
      </w:r>
      <w:r>
        <w:t> </w:t>
      </w:r>
      <w:r>
        <w:t>налогах и сборах.</w:t>
      </w:r>
    </w:p>
    <w:p w14:paraId="8B000000">
      <w:pPr>
        <w:ind w:firstLine="709" w:left="0"/>
        <w:jc w:val="both"/>
      </w:pPr>
      <w:r>
        <w:t>Определяющее влияние на формирование прибыли оказывает ряд крупнейших  организаций области, в их числе - АО «Концерн Росэнергоатом», ПАО «Сбербанк России», ООО «ПАЛЛАДА», АО «АСТОН», ООО</w:t>
      </w:r>
      <w:r>
        <w:t> </w:t>
      </w:r>
      <w:r>
        <w:t>«КЗ</w:t>
      </w:r>
      <w:r>
        <w:t> </w:t>
      </w:r>
      <w:r>
        <w:t>«Ростсельмаш», ООО «БТК ТЕКСТИЛЬ», ООО «БОНУМ», ООО</w:t>
      </w:r>
      <w:r>
        <w:t> </w:t>
      </w:r>
      <w:r>
        <w:t>«МАРС», крупные и средние предприятия обрабатывающих производств и торговли.</w:t>
      </w:r>
    </w:p>
    <w:p w14:paraId="8C000000">
      <w:pPr>
        <w:ind/>
        <w:jc w:val="center"/>
        <w:rPr>
          <w:b w:val="1"/>
          <w:i w:val="1"/>
          <w:highlight w:val="yellow"/>
        </w:rPr>
      </w:pPr>
    </w:p>
    <w:p w14:paraId="8D000000">
      <w:pPr>
        <w:ind/>
        <w:jc w:val="center"/>
        <w:rPr>
          <w:b w:val="1"/>
          <w:i w:val="1"/>
          <w:highlight w:val="yellow"/>
        </w:rPr>
      </w:pPr>
    </w:p>
    <w:p w14:paraId="8E000000">
      <w:pPr>
        <w:ind/>
        <w:jc w:val="center"/>
        <w:rPr>
          <w:b w:val="1"/>
          <w:i w:val="1"/>
        </w:rPr>
      </w:pPr>
      <w:r>
        <w:rPr>
          <w:b w:val="1"/>
          <w:i w:val="1"/>
        </w:rPr>
        <w:t>Налог на доходы физических лиц</w:t>
      </w:r>
    </w:p>
    <w:p w14:paraId="8F000000">
      <w:pPr>
        <w:ind w:firstLine="708" w:left="0"/>
        <w:jc w:val="center"/>
        <w:rPr>
          <w:b w:val="1"/>
          <w:i w:val="1"/>
          <w:highlight w:val="yellow"/>
        </w:rPr>
      </w:pPr>
    </w:p>
    <w:p w14:paraId="90000000">
      <w:pPr>
        <w:ind w:firstLine="709" w:left="0"/>
        <w:jc w:val="both"/>
      </w:pPr>
      <w:r>
        <w:t xml:space="preserve">Объем поступлений по налогу на доходы физических лиц </w:t>
      </w:r>
      <w:r>
        <w:t>на 2025 год прогнозируется в сумме 100 157,4 млн рублей и на плановый период 2026 и 2027 годов в сумме 107 686,1 млн рублей и 115 317,5 млн рублей соответственно</w:t>
      </w:r>
      <w:r>
        <w:t>.</w:t>
      </w:r>
    </w:p>
    <w:p w14:paraId="91000000">
      <w:pPr>
        <w:ind w:firstLine="709" w:left="0"/>
        <w:jc w:val="both"/>
      </w:pPr>
      <w:r>
        <w:t>В 2025 году по сравнению с уточненным планом 2024 года объем поступлений увеличится на 10 362,1 млн рублей или на 11,5 процента, в 2026 году по сравнению с 2025 годом увеличение на 7 528,7 млн рублей или на</w:t>
      </w:r>
      <w:r>
        <w:t> </w:t>
      </w:r>
      <w:r>
        <w:t>7,5</w:t>
      </w:r>
      <w:r>
        <w:t> </w:t>
      </w:r>
      <w:r>
        <w:t>процента, в 2027 году по сравнению с 2026 годом увеличение на</w:t>
      </w:r>
      <w:r>
        <w:t> </w:t>
      </w:r>
      <w:r>
        <w:t>7 631,4</w:t>
      </w:r>
      <w:r>
        <w:t> </w:t>
      </w:r>
      <w:r>
        <w:t>млн рублей или на 7,1 процента.</w:t>
      </w:r>
    </w:p>
    <w:p w14:paraId="92000000">
      <w:pPr>
        <w:ind w:firstLine="709" w:left="0"/>
        <w:jc w:val="both"/>
      </w:pPr>
      <w:r>
        <w:t>В основу расчета поступления налога на доходы физических лиц приняты прогнозируемые на 2025-2027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и нормативы отчислений в бюджеты субъектов Российской Федерации, установленные Бюджетным кодексом Российской Федерации (с учетом регулирования межбюджетных отношений Областным законом от 26.12.2016 №</w:t>
      </w:r>
      <w:r>
        <w:t> </w:t>
      </w:r>
      <w:r>
        <w:t>834-ЗС «О межбюджетных отношениях органов государственной власти</w:t>
      </w:r>
      <w:r>
        <w:t xml:space="preserve"> и органов местного самоуправления в Ростовской области»).</w:t>
      </w:r>
    </w:p>
    <w:p w14:paraId="93000000">
      <w:pPr>
        <w:ind w:firstLine="709" w:left="0" w:right="-1"/>
        <w:jc w:val="both"/>
      </w:pPr>
      <w:r>
        <w:t>С 1 января 2025 года установлены новые дифференцированные налоговые ставки в зависимости от размера полученного дохода (Федеральный закон от</w:t>
      </w:r>
      <w:r>
        <w:t> </w:t>
      </w:r>
      <w:r>
        <w:t>12.07.2024 № 176-ФЗ):</w:t>
      </w:r>
    </w:p>
    <w:p w14:paraId="94000000">
      <w:pPr>
        <w:ind w:firstLine="709" w:left="0" w:right="-1"/>
        <w:jc w:val="both"/>
      </w:pPr>
      <w:r>
        <w:t>13 процентов (от суммы налоговой базы с доходов равных или менее 2,4</w:t>
      </w:r>
      <w:r>
        <w:t> </w:t>
      </w:r>
      <w:r>
        <w:t>млн рублей);</w:t>
      </w:r>
    </w:p>
    <w:p w14:paraId="95000000">
      <w:pPr>
        <w:ind w:firstLine="709" w:left="0" w:right="-1"/>
        <w:jc w:val="both"/>
      </w:pPr>
      <w:r>
        <w:t>15 процентов (от суммы налоговой базы с доходов от 2,4 млн рублей до</w:t>
      </w:r>
      <w:r>
        <w:t> </w:t>
      </w:r>
      <w:r>
        <w:t>5</w:t>
      </w:r>
      <w:r>
        <w:t> </w:t>
      </w:r>
      <w:r>
        <w:t>млн рублей);</w:t>
      </w:r>
    </w:p>
    <w:p w14:paraId="96000000">
      <w:pPr>
        <w:ind w:firstLine="709" w:left="0" w:right="-1"/>
        <w:jc w:val="both"/>
      </w:pPr>
      <w:r>
        <w:t>18 процентов (от суммы налоговой базы с доходов от 5 млн рублей до</w:t>
      </w:r>
      <w:r>
        <w:t> </w:t>
      </w:r>
      <w:r>
        <w:t>20</w:t>
      </w:r>
      <w:r>
        <w:t> </w:t>
      </w:r>
      <w:r>
        <w:t>млн рублей);</w:t>
      </w:r>
    </w:p>
    <w:p w14:paraId="97000000">
      <w:pPr>
        <w:ind w:firstLine="709" w:left="0" w:right="-1"/>
        <w:jc w:val="both"/>
      </w:pPr>
      <w:r>
        <w:t>20 процентов (от суммы налоговой базы с доходов от 20 млн рублей до</w:t>
      </w:r>
      <w:r>
        <w:t> </w:t>
      </w:r>
      <w:r>
        <w:t>50</w:t>
      </w:r>
      <w:r>
        <w:t> </w:t>
      </w:r>
      <w:r>
        <w:t>млн рублей);</w:t>
      </w:r>
    </w:p>
    <w:p w14:paraId="98000000">
      <w:pPr>
        <w:ind w:firstLine="709" w:left="0" w:right="-1"/>
        <w:jc w:val="both"/>
      </w:pPr>
      <w:r>
        <w:t>22 процента (от суммы налоговой базы с доходов превышающих 50</w:t>
      </w:r>
      <w:r>
        <w:t> </w:t>
      </w:r>
      <w:r>
        <w:t>млн</w:t>
      </w:r>
      <w:r>
        <w:t> </w:t>
      </w:r>
      <w:r>
        <w:t>рублей).</w:t>
      </w:r>
    </w:p>
    <w:p w14:paraId="99000000">
      <w:pPr>
        <w:ind w:firstLine="709" w:left="0" w:right="-1"/>
        <w:jc w:val="both"/>
      </w:pPr>
      <w:r>
        <w:t>С 1 января 2025 года установлены новые нормативы отчислений в бюджеты субъектов Российской Федерации в зависимости от размера полученного дохода (Федеральный закон от 13.07.2024 № 177-ФЗ).</w:t>
      </w:r>
    </w:p>
    <w:p w14:paraId="9A000000">
      <w:pPr>
        <w:ind w:firstLine="720" w:left="0"/>
        <w:jc w:val="both"/>
      </w:pPr>
      <w:r>
        <w:t>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 подлежащих налогообложению.</w:t>
      </w:r>
    </w:p>
    <w:p w14:paraId="9B000000">
      <w:pPr>
        <w:ind w:firstLine="720" w:left="0"/>
        <w:jc w:val="both"/>
      </w:pPr>
      <w:r>
        <w:t>Прогнозный объем налогооблагаемой базы по налогу рассчитан отдельно по каждому виду дохода с учетом применения льгот, освобождений, предоставляемых в рамках действующего законодательства о налогах и сборах, в виде налоговых вычетов (имущественный, социальный, стандартный и т.д.) и не подлежащих налогообложению доходов.</w:t>
      </w:r>
    </w:p>
    <w:p w14:paraId="9C000000">
      <w:pPr>
        <w:ind w:firstLine="720" w:left="0"/>
        <w:jc w:val="both"/>
      </w:pPr>
      <w:r>
        <w:t>Наиболее крупными плательщиками налога на доходы физических лиц в Ростовской области являются бюджетообразующие предприятия, такие как    Ростовский вертолетный ПК ПАО «РОСТВЕРТОЛ», ООО «КЗ «Ростсельмаш», АО «</w:t>
      </w:r>
      <w:r>
        <w:t>Тандер</w:t>
      </w:r>
      <w:r>
        <w:t xml:space="preserve">», ПАО «Сбербанк России», </w:t>
      </w:r>
      <w:r>
        <w:t>АО «АСТОН», АО «ТАГМЕТ», АО</w:t>
      </w:r>
      <w:r>
        <w:t> </w:t>
      </w:r>
      <w:r>
        <w:t xml:space="preserve">«Концерн </w:t>
      </w:r>
      <w:r>
        <w:t>Росэнергоатом</w:t>
      </w:r>
      <w:r>
        <w:t>»</w:t>
      </w:r>
      <w:r>
        <w:t>.</w:t>
      </w:r>
    </w:p>
    <w:p w14:paraId="9D000000">
      <w:pPr>
        <w:ind w:firstLine="708" w:left="0"/>
        <w:jc w:val="both"/>
      </w:pPr>
      <w:r>
        <w:t>Налог на доходы физических лиц,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прогнозируется в 2025 году в сумме 732,0 млн рублей и в 2026-2027 годах в сумме 766,2 млн рублей и 800,8 млн рублей соответственно.</w:t>
      </w:r>
    </w:p>
    <w:p w14:paraId="9E000000">
      <w:pPr>
        <w:ind/>
        <w:jc w:val="center"/>
        <w:rPr>
          <w:b w:val="1"/>
          <w:i w:val="1"/>
        </w:rPr>
      </w:pPr>
    </w:p>
    <w:p w14:paraId="9F000000">
      <w:pPr>
        <w:ind/>
        <w:jc w:val="center"/>
        <w:rPr>
          <w:b w:val="1"/>
          <w:i w:val="1"/>
        </w:rPr>
      </w:pPr>
      <w:r>
        <w:rPr>
          <w:b w:val="1"/>
          <w:i w:val="1"/>
        </w:rPr>
        <w:t xml:space="preserve">Акцизы по подакцизным товарам (продукции), производимым </w:t>
      </w:r>
    </w:p>
    <w:p w14:paraId="A0000000">
      <w:pPr>
        <w:ind/>
        <w:jc w:val="center"/>
        <w:rPr>
          <w:b w:val="1"/>
          <w:i w:val="1"/>
        </w:rPr>
      </w:pPr>
      <w:r>
        <w:rPr>
          <w:b w:val="1"/>
          <w:i w:val="1"/>
        </w:rPr>
        <w:t>на территории Российской Федерации</w:t>
      </w:r>
    </w:p>
    <w:p w14:paraId="A1000000">
      <w:pPr>
        <w:ind/>
        <w:jc w:val="center"/>
        <w:rPr>
          <w:b w:val="1"/>
          <w:i w:val="1"/>
          <w:highlight w:val="yellow"/>
        </w:rPr>
      </w:pPr>
    </w:p>
    <w:p w14:paraId="A2000000">
      <w:pPr>
        <w:ind w:firstLine="720" w:left="0"/>
        <w:jc w:val="both"/>
      </w:pPr>
      <w:r>
        <w:t>Поступление акцизов по подакцизным товарам (продукции), производимым на территории Российской Федерации, в бюджет области на 2025 год прогнозируются в сумме 32 661,5 млн рублей, на 2026 и 2027 годы в сумме 34 399,4 млн рублей и 36 399,0 млн рублей соответственно.</w:t>
      </w:r>
    </w:p>
    <w:p w14:paraId="A3000000">
      <w:pPr>
        <w:ind w:firstLine="709" w:left="0"/>
        <w:jc w:val="both"/>
      </w:pPr>
      <w:r>
        <w:t>В 2025 году по сравнению с уточненным планом 2024 года объем поступлений увеличится на 2 951,9 млн рублей или на 9,9 процента, в 2026 году по сравнению с 2025 годом увеличение на 1 737,9 млн рублей или на 5,3</w:t>
      </w:r>
      <w:r>
        <w:t> </w:t>
      </w:r>
      <w:r>
        <w:t>процента, в 2027 году по сравнению с 2026 годом увеличение на 1 999,6</w:t>
      </w:r>
      <w:r>
        <w:t> </w:t>
      </w:r>
      <w:r>
        <w:t>млн</w:t>
      </w:r>
      <w:r>
        <w:t> </w:t>
      </w:r>
      <w:r>
        <w:t>рублей или на 5,8 процента.</w:t>
      </w:r>
    </w:p>
    <w:p w14:paraId="A4000000">
      <w:pPr>
        <w:ind w:firstLine="720" w:left="0"/>
        <w:jc w:val="both"/>
      </w:pPr>
      <w:r>
        <w:t>Налоговый потенциал по акцизам формируется исходя из поступлений акцизов на алкогольную продукцию и на сталь жидкую, а также доходов от уплаты акцизов на нефтепродукты.</w:t>
      </w:r>
    </w:p>
    <w:p w14:paraId="A5000000">
      <w:pPr>
        <w:ind w:firstLine="720" w:left="0"/>
        <w:jc w:val="both"/>
      </w:pPr>
      <w:r>
        <w:t xml:space="preserve">Администратором акцизов является </w:t>
      </w:r>
      <w:r>
        <w:t>Управление Федеральной налоговой службы по Ростовской области.</w:t>
      </w:r>
    </w:p>
    <w:p w14:paraId="A6000000">
      <w:pPr>
        <w:ind w:firstLine="709" w:left="0"/>
        <w:jc w:val="both"/>
      </w:pPr>
      <w:r>
        <w:t xml:space="preserve">Прогноз поступлений рассчитан </w:t>
      </w:r>
      <w:r>
        <w:t>в соответствии с Методикой прогнозирования поступлений доходов в бюджет области с</w:t>
      </w:r>
      <w:r>
        <w:t xml:space="preserve"> учетом изменений федерального законодательства</w:t>
      </w:r>
      <w:r>
        <w:t>.</w:t>
      </w:r>
    </w:p>
    <w:p w14:paraId="A7000000">
      <w:pPr>
        <w:ind w:firstLine="709" w:left="0"/>
        <w:jc w:val="both"/>
      </w:pPr>
      <w:r>
        <w:t xml:space="preserve">При определении прогноза поступлений по акцизам учтены размеры налоговых ставок, установленные статьей 193 Налогового кодекса Российской Федерации, и </w:t>
      </w:r>
      <w:r>
        <w:t>нормативы отчислений в бюджеты субъектов Российской Федерации, установленные Бюджетным кодексом Российской Федерации (с</w:t>
      </w:r>
      <w:r>
        <w:t> </w:t>
      </w:r>
      <w:r>
        <w:t>учетом регулирования межбюджетных отношений Областным законом от</w:t>
      </w:r>
      <w:r>
        <w:t> </w:t>
      </w:r>
      <w:r>
        <w:t>26.12.2016 № 834-ЗС «О межбюджетных отношениях органов государственной власти и органов местного самоуправления в Ростовской области»).</w:t>
      </w:r>
    </w:p>
    <w:p w14:paraId="A8000000">
      <w:pPr>
        <w:ind w:firstLine="720" w:left="0"/>
        <w:jc w:val="both"/>
      </w:pPr>
      <w:r>
        <w:t>Прогноз поступлений акцизов на алкогольную продукцию на 2025 год и на плановый период 2026 и 2027 годов рассчитан на основе планируемых объемов реализации алкогольной продукции в 2025-2027 годах и фактической динамики поступлений. Кроме того, учтены поступления, учитывающие изменения законодательства о налогах и сборах, уровень собираемости акцизов по отдельным видам подакцизной продукции. Прогноз на 2025 год составляет 13 078,5 млн рублей, в том числе по акцизам на пиво - 8 496,6 млн рублей. Основной налогоплательщик - ООО «Пивоваренная компания «Балтика».</w:t>
      </w:r>
    </w:p>
    <w:p w14:paraId="A9000000">
      <w:pPr>
        <w:ind/>
        <w:jc w:val="both"/>
      </w:pPr>
      <w:r>
        <w:tab/>
      </w:r>
      <w:r>
        <w:t>Прогноз поступлений на 2026-2027 годы по акцизам на алкогольную продукцию составляет 14 089,7 млн рублей и 15 334,5 млн рублей соответственно.</w:t>
      </w:r>
    </w:p>
    <w:p w14:paraId="AA000000">
      <w:pPr>
        <w:ind/>
        <w:jc w:val="both"/>
      </w:pPr>
      <w:r>
        <w:tab/>
      </w:r>
      <w:r>
        <w:t>Доходы от уплаты акцизов на алкогольную продукцию с объемной долей этилового спирта свыше 9 процентов, с учетом механизма распределения, установленного Федеральным законом о федеральном бюджете на очередной финансовый год и на плановый период, составляют на 2025 год - 4 536,5 млн рублей, на 2026 год - 4 790,4 млн рублей и н</w:t>
      </w:r>
      <w:r>
        <w:t>а 2027 год - 5 058,5 млн рублей</w:t>
      </w:r>
      <w:r>
        <w:t>.</w:t>
      </w:r>
    </w:p>
    <w:p w14:paraId="AB000000">
      <w:pPr>
        <w:ind w:firstLine="720" w:left="0"/>
        <w:jc w:val="both"/>
      </w:pPr>
      <w:r>
        <w:t>Доходы от уплаты акцизов на нефтепродукты зачисляются в бюджет региона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и</w:t>
      </w:r>
      <w:r>
        <w:t> </w:t>
      </w:r>
      <w:r>
        <w:t>составляют:</w:t>
      </w:r>
    </w:p>
    <w:p w14:paraId="AC000000">
      <w:pPr>
        <w:ind w:firstLine="720" w:left="0"/>
        <w:jc w:val="both"/>
      </w:pPr>
      <w:r>
        <w:t>на 2025 - 19 453,3 млн рублей (15 476,2 млн рублей в целях формирования дорожных фондов субъектов Российской Федерации и 3 977,1 млн рублей в целях реализации национального проекта «Безопасные качественные дороги»);</w:t>
      </w:r>
    </w:p>
    <w:p w14:paraId="AD000000">
      <w:pPr>
        <w:ind w:firstLine="720" w:left="0"/>
        <w:jc w:val="both"/>
      </w:pPr>
      <w:r>
        <w:t>на 2026 - 20 170,9 млн рублей (16 216,0 млн рублей в целях формирования дорожных фондов субъектов Российской Федерации и 3 954,9 млн рублей в целях реализации национального проекта «Безопасные качественные дороги»);</w:t>
      </w:r>
    </w:p>
    <w:p w14:paraId="AE000000">
      <w:pPr>
        <w:ind w:firstLine="720" w:left="0"/>
        <w:jc w:val="both"/>
      </w:pPr>
      <w:r>
        <w:t>на 2027 - 20 919,8 млн рублей (16 986,4 млн рублей в целях формирования дорожных фондов субъектов Российской Федерации и 3 933,4 млн рублей в целях реализации национального проекта «Безопасные качественные дороги»)</w:t>
      </w:r>
      <w:r>
        <w:t>.</w:t>
      </w:r>
    </w:p>
    <w:p w14:paraId="AF000000">
      <w:pPr>
        <w:ind w:firstLine="709" w:left="0"/>
        <w:jc w:val="both"/>
      </w:pPr>
      <w:r>
        <w:t>Доходы от уплаты акцизов на автомобильный и прямогонный бензин, дизельное топливо, моторные масла для дизельных и (или) карбюраторных (</w:t>
      </w:r>
      <w:r>
        <w:t>инжекторных</w:t>
      </w:r>
      <w:r>
        <w:t>) двигателей, производимые на территории Российской Федерации, являются основным источником формирования дорожного фонда Ростовской области.</w:t>
      </w:r>
    </w:p>
    <w:p w14:paraId="B0000000">
      <w:pPr>
        <w:ind w:firstLine="720" w:left="0"/>
        <w:jc w:val="both"/>
      </w:pPr>
      <w:r>
        <w:t xml:space="preserve">Акциз на жидкую сталь запланирован на 2025 год в объеме 129,8 млн рублей и на плановый период </w:t>
      </w:r>
      <w:r>
        <w:t>2026-2027 годов</w:t>
      </w:r>
      <w:r>
        <w:t xml:space="preserve"> в сумме 138,9 млн рублей и</w:t>
      </w:r>
      <w:r>
        <w:t> </w:t>
      </w:r>
      <w:r>
        <w:t>144,7</w:t>
      </w:r>
      <w:r>
        <w:t> </w:t>
      </w:r>
      <w:r>
        <w:t>млн рублей соответственно.</w:t>
      </w:r>
    </w:p>
    <w:p w14:paraId="B1000000">
      <w:pPr>
        <w:ind/>
        <w:jc w:val="both"/>
      </w:pPr>
    </w:p>
    <w:p w14:paraId="B2000000">
      <w:pPr>
        <w:ind/>
        <w:jc w:val="center"/>
        <w:rPr>
          <w:b w:val="1"/>
          <w:i w:val="1"/>
        </w:rPr>
      </w:pPr>
      <w:r>
        <w:rPr>
          <w:b w:val="1"/>
          <w:i w:val="1"/>
        </w:rPr>
        <w:t>Налог, взимаемый в связи с применением упрощенной системы налогообложения</w:t>
      </w:r>
    </w:p>
    <w:p w14:paraId="B3000000">
      <w:pPr>
        <w:ind/>
        <w:jc w:val="center"/>
        <w:rPr>
          <w:b w:val="1"/>
          <w:i w:val="1"/>
          <w:highlight w:val="yellow"/>
        </w:rPr>
      </w:pPr>
    </w:p>
    <w:p w14:paraId="B4000000">
      <w:pPr>
        <w:spacing w:line="228" w:lineRule="auto"/>
        <w:ind w:firstLine="709" w:left="0"/>
        <w:jc w:val="both"/>
      </w:pPr>
      <w:r>
        <w:t xml:space="preserve">Поступление налога, взимаемого в связи с применением упрощенной системы налогообложения, в областной бюджет на 2025 год </w:t>
      </w:r>
      <w:r>
        <w:t xml:space="preserve">прогнозируется в сумме </w:t>
      </w:r>
      <w:r>
        <w:t>30 977,5 млн рублей, на 2026 - 2027 годы - 33 122,4 млн рублей и 35 384,1</w:t>
      </w:r>
      <w:r>
        <w:t> </w:t>
      </w:r>
      <w:r>
        <w:t>млн рублей соответственно.</w:t>
      </w:r>
    </w:p>
    <w:p w14:paraId="B5000000">
      <w:pPr>
        <w:spacing w:line="228" w:lineRule="auto"/>
        <w:ind w:firstLine="709" w:left="0"/>
        <w:jc w:val="both"/>
      </w:pPr>
      <w:r>
        <w:t>В 2025 году по сравнению с уточненным планом 2024 года объем поступлений увеличится на 2 013,5 млн рублей или на 7,0 процента, в 2026 году по сравнению с 2025 годом увеличение на 2 144,9 млн рублей или на 6,9</w:t>
      </w:r>
      <w:r>
        <w:t> </w:t>
      </w:r>
      <w:r>
        <w:t>процента, в 2027 году по сравнению с 2026 годом увеличится на 2 261,7</w:t>
      </w:r>
      <w:r>
        <w:t> </w:t>
      </w:r>
      <w:r>
        <w:t>млн</w:t>
      </w:r>
      <w:r>
        <w:t> </w:t>
      </w:r>
      <w:r>
        <w:t>рублей или на 6,8 процента.</w:t>
      </w:r>
    </w:p>
    <w:p w14:paraId="B6000000">
      <w:pPr>
        <w:spacing w:line="228" w:lineRule="auto"/>
        <w:ind w:firstLine="708" w:left="0"/>
        <w:jc w:val="both"/>
      </w:pPr>
      <w:r>
        <w:t xml:space="preserve">Объем поступлений </w:t>
      </w:r>
      <w:r>
        <w:t xml:space="preserve">налога рассчитан исходя из прогнозируемых </w:t>
      </w:r>
      <w:r>
        <w:t xml:space="preserve">главным администратором доходов - Управлением Федеральной налоговой службы по Ростовской области </w:t>
      </w:r>
      <w:r>
        <w:t xml:space="preserve">на 2025-2027 годы налоговых баз </w:t>
      </w:r>
      <w:r>
        <w:t>по объектам налогообложения «доходы» и «доходы, уменьшенные на величину расходов», налоговых ставок, утвержденных статьей 346</w:t>
      </w:r>
      <w:r>
        <w:rPr>
          <w:vertAlign w:val="superscript"/>
        </w:rPr>
        <w:t xml:space="preserve">20 </w:t>
      </w:r>
      <w:r>
        <w:t>Налогового кодекса Российской Федерации, и норматива отчисления в бюджеты субъектов Российской Федерации, установленного Бюджетным кодексом Российской Федерации (с</w:t>
      </w:r>
      <w:r>
        <w:t> </w:t>
      </w:r>
      <w:r>
        <w:t>учетом регулирования межбюджетных отношений Областным</w:t>
      </w:r>
      <w:r>
        <w:t xml:space="preserve"> законом от 26.12.2016 № 834-ЗС «О межбюджетных отношениях органов государственной власти и органов местного самоуправления в Ростовской области»). </w:t>
      </w:r>
    </w:p>
    <w:p w14:paraId="B7000000">
      <w:pPr>
        <w:spacing w:line="228" w:lineRule="auto"/>
        <w:ind w:firstLine="708" w:left="0"/>
        <w:jc w:val="both"/>
      </w:pPr>
      <w:r>
        <w:t xml:space="preserve">Расчет прогнозного объема поступлений по </w:t>
      </w:r>
      <w:r>
        <w:t xml:space="preserve">налогу, взимаемому в связи с применением упрощенной системы налогообложения, </w:t>
      </w:r>
      <w:r>
        <w:t>в случае, если объектом налогообложения являются доходы, уменьшенные на величину расходов,</w:t>
      </w:r>
      <w:r>
        <w:t xml:space="preserve"> произведен с учетом </w:t>
      </w:r>
      <w:r>
        <w:t>льготы, предоставляемой в рамках действующего законодательства Российской Федерации о налогах и сборах</w:t>
      </w:r>
      <w:r>
        <w:t xml:space="preserve"> и</w:t>
      </w:r>
      <w:r>
        <w:t xml:space="preserve"> Областного закона Ростовской области от 10.05.2012 № 843-ЗС «О региональных налогах и некоторых вопросах налогообложения в Ростовской области», в виде</w:t>
      </w:r>
      <w:r>
        <w:t xml:space="preserve"> пониженной налоговой ставки до 10 процентов (при установленной Налоговым Кодексом Российской Федерации 15 процентов </w:t>
      </w:r>
      <w:r>
        <w:t>для налогоплательщиков, являющихся субъектами малого предпринимательства).</w:t>
      </w:r>
    </w:p>
    <w:p w14:paraId="B8000000">
      <w:pPr>
        <w:spacing w:line="228" w:lineRule="auto"/>
        <w:ind w:firstLine="708" w:left="0"/>
        <w:jc w:val="both"/>
      </w:pPr>
      <w:r>
        <w:t>При формировании прогнозного объема поступлений также учитывается:</w:t>
      </w:r>
    </w:p>
    <w:p w14:paraId="B9000000">
      <w:pPr>
        <w:spacing w:line="228" w:lineRule="auto"/>
        <w:ind w:firstLine="708" w:left="0"/>
        <w:jc w:val="both"/>
      </w:pPr>
      <w:r>
        <w:t>- прогнозируемый объем страховых взносов на обязательное пенсионное страхование и по временной нетрудоспособности;</w:t>
      </w:r>
    </w:p>
    <w:p w14:paraId="BA000000">
      <w:pPr>
        <w:spacing w:line="228" w:lineRule="auto"/>
        <w:ind w:firstLine="708" w:left="0"/>
        <w:jc w:val="both"/>
      </w:pPr>
      <w:r>
        <w:t>- расчетный уровень собираемости;</w:t>
      </w:r>
    </w:p>
    <w:p w14:paraId="BB000000">
      <w:pPr>
        <w:spacing w:line="228" w:lineRule="auto"/>
        <w:ind w:firstLine="708" w:left="0"/>
        <w:jc w:val="both"/>
      </w:pPr>
      <w:r>
        <w:t>- корректирующая сумма поступлений (возвратов).</w:t>
      </w:r>
    </w:p>
    <w:p w14:paraId="BC000000">
      <w:pPr>
        <w:tabs>
          <w:tab w:leader="none" w:pos="0" w:val="left"/>
          <w:tab w:leader="none" w:pos="142" w:val="left"/>
        </w:tabs>
        <w:spacing w:line="228" w:lineRule="auto"/>
        <w:ind/>
        <w:jc w:val="both"/>
      </w:pPr>
      <w:r>
        <w:tab/>
      </w:r>
      <w:r>
        <w:tab/>
      </w:r>
      <w:r>
        <w:t>Основными плательщиками налога являются малые и средние предприятия, прогноз количества которых в 2025 году составляет 44,5 тыс. единиц с ростом к 2024 году на 0,1 тыс. единиц (на 2026 год - 44,7 тыс. единиц и 2027 год - 45,0</w:t>
      </w:r>
      <w:r>
        <w:t> </w:t>
      </w:r>
      <w:r>
        <w:t>тыс.</w:t>
      </w:r>
      <w:r>
        <w:t> </w:t>
      </w:r>
      <w:r>
        <w:t xml:space="preserve">единиц) в соответствии с прогнозом социально-экономического развития Ростовской области на 2025 год и на плановый период 2026 и 2027 годов. </w:t>
      </w:r>
    </w:p>
    <w:p w14:paraId="BD000000">
      <w:pPr>
        <w:ind/>
        <w:jc w:val="center"/>
        <w:rPr>
          <w:b w:val="1"/>
          <w:i w:val="1"/>
        </w:rPr>
      </w:pPr>
    </w:p>
    <w:p w14:paraId="BE000000">
      <w:pPr>
        <w:ind/>
        <w:jc w:val="center"/>
        <w:rPr>
          <w:b w:val="1"/>
          <w:i w:val="1"/>
        </w:rPr>
      </w:pPr>
      <w:r>
        <w:rPr>
          <w:b w:val="1"/>
          <w:i w:val="1"/>
        </w:rPr>
        <w:t>Налог на профессиональный доход</w:t>
      </w:r>
    </w:p>
    <w:p w14:paraId="BF000000">
      <w:pPr>
        <w:ind/>
        <w:jc w:val="center"/>
        <w:rPr>
          <w:b w:val="1"/>
          <w:i w:val="1"/>
          <w:highlight w:val="yellow"/>
        </w:rPr>
      </w:pPr>
    </w:p>
    <w:p w14:paraId="C0000000">
      <w:pPr>
        <w:ind w:firstLine="720" w:left="0"/>
        <w:jc w:val="both"/>
      </w:pPr>
      <w:r>
        <w:t xml:space="preserve">Поступление налога на профессиональный доход в областной бюджет на 2025 год </w:t>
      </w:r>
      <w:r>
        <w:t xml:space="preserve">прогнозируется в сумме </w:t>
      </w:r>
      <w:r>
        <w:t>1 391,9 млн рублей, на 2026 - 2027 годы - 1 510,2</w:t>
      </w:r>
      <w:r>
        <w:t> </w:t>
      </w:r>
      <w:r>
        <w:t>млн рублей и 1 632,5 млн рублей соответственно.</w:t>
      </w:r>
    </w:p>
    <w:p w14:paraId="C1000000">
      <w:pPr>
        <w:ind w:firstLine="709" w:left="0"/>
        <w:jc w:val="both"/>
      </w:pPr>
      <w:r>
        <w:t xml:space="preserve">В 2025 году по сравнению с уточненным планом 2024 года объем поступлений увеличится на 254,3 млн рублей или на 22,4 процента, в 2026 году увеличение на 118,3 млн рублей или на 8,5 процента и в 2027 году - </w:t>
      </w:r>
      <w:r>
        <w:t>на</w:t>
      </w:r>
      <w:r>
        <w:t> </w:t>
      </w:r>
      <w:r>
        <w:t>122,3</w:t>
      </w:r>
      <w:r>
        <w:t> </w:t>
      </w:r>
      <w:r>
        <w:t>млн</w:t>
      </w:r>
      <w:r>
        <w:t> </w:t>
      </w:r>
      <w:r>
        <w:t>рублей или на 8,1 процента.</w:t>
      </w:r>
    </w:p>
    <w:p w14:paraId="C2000000">
      <w:pPr>
        <w:ind w:firstLine="720" w:left="0"/>
        <w:jc w:val="both"/>
      </w:pPr>
      <w:r>
        <w:t xml:space="preserve">Объем поступлений </w:t>
      </w:r>
      <w:r>
        <w:t xml:space="preserve">налога рассчитан исходя из прогнозируемых </w:t>
      </w:r>
      <w:r>
        <w:t xml:space="preserve">главным администратором доходов - Управлением Федеральной налоговой службы по Ростовской области </w:t>
      </w:r>
      <w:r>
        <w:t xml:space="preserve">на 2025-2027 годы налоговых баз </w:t>
      </w:r>
      <w:r>
        <w:t>от реализации товаров (работ, услуг,</w:t>
      </w:r>
      <w:r>
        <w:rPr>
          <w:sz w:val="27"/>
        </w:rPr>
        <w:t xml:space="preserve"> </w:t>
      </w:r>
      <w:r>
        <w:t>имущественных прав),</w:t>
      </w:r>
      <w:r>
        <w:t xml:space="preserve"> данных о количестве и сумме доходов зарегистрированных налогоплательщиков. В 2024 году в 1,4 раза увеличилось количество налогоплательщиков налога на профессиональный доход по сравнению с 2023 годом.</w:t>
      </w:r>
    </w:p>
    <w:p w14:paraId="C3000000">
      <w:pPr>
        <w:ind w:firstLine="720" w:left="0"/>
        <w:jc w:val="both"/>
      </w:pPr>
      <w:r>
        <w:t>Налог на профессиональный доход зачисляется в областной бюджет по нормативу 63 процента (37 процентов - в фонд обязательного медицинского страхования).</w:t>
      </w:r>
    </w:p>
    <w:p w14:paraId="C4000000">
      <w:pPr>
        <w:ind/>
        <w:jc w:val="center"/>
      </w:pPr>
    </w:p>
    <w:p w14:paraId="C5000000">
      <w:pPr>
        <w:ind/>
        <w:jc w:val="center"/>
        <w:rPr>
          <w:b w:val="1"/>
          <w:i w:val="1"/>
        </w:rPr>
      </w:pPr>
    </w:p>
    <w:p w14:paraId="C6000000">
      <w:pPr>
        <w:ind/>
        <w:jc w:val="center"/>
        <w:rPr>
          <w:b w:val="1"/>
          <w:i w:val="1"/>
        </w:rPr>
      </w:pPr>
      <w:r>
        <w:rPr>
          <w:b w:val="1"/>
          <w:i w:val="1"/>
        </w:rPr>
        <w:t>Налог на имущество организаций</w:t>
      </w:r>
    </w:p>
    <w:p w14:paraId="C7000000">
      <w:pPr>
        <w:ind w:firstLine="720" w:left="0"/>
        <w:jc w:val="center"/>
        <w:rPr>
          <w:b w:val="1"/>
          <w:i w:val="1"/>
          <w:highlight w:val="yellow"/>
        </w:rPr>
      </w:pPr>
    </w:p>
    <w:p w14:paraId="C8000000">
      <w:pPr>
        <w:ind w:firstLine="720" w:left="0" w:right="-1"/>
        <w:jc w:val="both"/>
      </w:pPr>
      <w:r>
        <w:t>В 2025 году поступления по налогу на имущество организаций в областной бюджет прогнозируются в сумме 19 101,7 млн рублей,  в 2026 - 2027 годах - 19 494,4 млн рублей и 20 401,6 млн рублей соответственно.</w:t>
      </w:r>
    </w:p>
    <w:p w14:paraId="C9000000">
      <w:pPr>
        <w:ind w:firstLine="709" w:left="0"/>
        <w:jc w:val="both"/>
      </w:pPr>
      <w:r>
        <w:t>В 2025 году по сравнению с уточненным планом 2024 года объем поступлений уменьшится на 144,4 млн рублей или на 0,8 процента, в 2026 году по сравнению с 2025 годом увеличение на 392,6 млн рублей или на 2,1 процента, в</w:t>
      </w:r>
      <w:r>
        <w:t> </w:t>
      </w:r>
      <w:r>
        <w:t>2027 году по сравнению с 2026 годом увеличение на 907,3 млн рублей или на</w:t>
      </w:r>
      <w:r>
        <w:t> </w:t>
      </w:r>
      <w:r>
        <w:t>4,7</w:t>
      </w:r>
      <w:r>
        <w:t> </w:t>
      </w:r>
      <w:r>
        <w:t>процента.</w:t>
      </w:r>
    </w:p>
    <w:p w14:paraId="CA000000">
      <w:pPr>
        <w:ind w:firstLine="720" w:left="0" w:right="-1"/>
        <w:jc w:val="both"/>
      </w:pPr>
      <w:r>
        <w:t>В прогнозе учтено бессрочное продление срока действия пониженной ставки (1,6 процента) в отношении железнодорожных путей общего пользования и сооружений.</w:t>
      </w:r>
    </w:p>
    <w:p w14:paraId="CB000000">
      <w:pPr>
        <w:ind w:firstLine="720" w:left="0" w:right="-1"/>
        <w:jc w:val="both"/>
      </w:pPr>
      <w:r>
        <w:t>Прогнозный объем поступлений представлен главным администратором данного доходного источника - Управлением Федеральной налоговой службы по Ростовской области.</w:t>
      </w:r>
    </w:p>
    <w:p w14:paraId="CC000000">
      <w:pPr>
        <w:ind w:firstLine="709" w:left="0"/>
        <w:jc w:val="both"/>
        <w:rPr>
          <w:rFonts w:ascii="inherit" w:hAnsi="inherit"/>
          <w:sz w:val="24"/>
        </w:rPr>
      </w:pPr>
      <w:r>
        <w:t>В расчете использовались налоговая база и налоговые ставки, установленные статьей 380 Налогового кодекса Российской Федерации в размере 2,2 процента - в отношении среднегодовой стоимости имущества и 2,0 процента - в отношении кадастровой стоимости объектов недвижимого имущества иностранных организаций, а также пониженные налоговые ставки и налоговые льготы, установленные Областным законом от 10.05.2012 № 843-ЗС «О региональных налогах и некоторых вопросах налогообложения в Ростовской области».</w:t>
      </w:r>
      <w:r>
        <w:t xml:space="preserve"> </w:t>
      </w:r>
    </w:p>
    <w:p w14:paraId="CD000000">
      <w:pPr>
        <w:ind w:firstLine="720" w:left="0" w:right="-1"/>
        <w:jc w:val="both"/>
      </w:pPr>
      <w:r>
        <w:t>Норматив зачисления в бюджеты субъектов Российской Федерации в соответствии со статьей 56 Бюджетного кодекса Российской Федерации - 100 процентов.</w:t>
      </w:r>
    </w:p>
    <w:p w14:paraId="CE000000">
      <w:pPr>
        <w:ind w:firstLine="709" w:left="0"/>
        <w:jc w:val="both"/>
      </w:pPr>
      <w:r>
        <w:t>Крупными плательщиками налога являются организац</w:t>
      </w:r>
      <w:r>
        <w:t>ии АО</w:t>
      </w:r>
      <w:r>
        <w:t> «Концерн </w:t>
      </w:r>
      <w:r>
        <w:t>Росэнергоатом</w:t>
      </w:r>
      <w:r>
        <w:t>», ПАО «Газпром» и ОАО «РЖД».</w:t>
      </w:r>
    </w:p>
    <w:p w14:paraId="CF000000">
      <w:pPr>
        <w:ind w:firstLine="720" w:left="0" w:right="-142"/>
        <w:jc w:val="both"/>
      </w:pPr>
    </w:p>
    <w:p w14:paraId="D0000000">
      <w:pPr>
        <w:ind w:firstLine="709" w:left="0"/>
        <w:jc w:val="center"/>
        <w:rPr>
          <w:b w:val="1"/>
          <w:i w:val="1"/>
        </w:rPr>
      </w:pPr>
      <w:r>
        <w:rPr>
          <w:b w:val="1"/>
          <w:i w:val="1"/>
        </w:rPr>
        <w:t>Налог на игорный бизнес</w:t>
      </w:r>
    </w:p>
    <w:p w14:paraId="D1000000">
      <w:pPr>
        <w:ind/>
        <w:jc w:val="both"/>
        <w:rPr>
          <w:highlight w:val="yellow"/>
        </w:rPr>
      </w:pPr>
    </w:p>
    <w:p w14:paraId="D2000000">
      <w:pPr>
        <w:ind w:firstLine="709" w:left="0"/>
        <w:jc w:val="both"/>
      </w:pPr>
      <w:r>
        <w:t xml:space="preserve">Объем поступлений по налогу на игорный бизнес на 2025 год прогнозируется в сумме </w:t>
      </w:r>
      <w:r>
        <w:t xml:space="preserve">80,3 млн рублей и на плановый период  </w:t>
      </w:r>
      <w:r>
        <w:t xml:space="preserve">2026 и 2027 годов в сумме 80,0 </w:t>
      </w:r>
      <w:r>
        <w:t>млн рублей и 79,6 млн рублей соответственно.</w:t>
      </w:r>
    </w:p>
    <w:p w14:paraId="D3000000">
      <w:pPr>
        <w:ind w:firstLine="709" w:left="0"/>
        <w:jc w:val="both"/>
      </w:pPr>
      <w:r>
        <w:t>В 2025 году по сравнению с уточненным планом 2024 года объем поступлений уменьшится на 1,8 млн рублей или на 2,2 процента, в связи с приостановлением осуществления лицензируемого вида деятельности центром интерактивных ставок тотализатора и снижения количества объектов налогообложения в связи с закрытием пунктов приема ставок букмекерских контор. В 2026 и 2027 годах уменьшение на 0,4 процента ежегодно.</w:t>
      </w:r>
    </w:p>
    <w:p w14:paraId="D4000000">
      <w:pPr>
        <w:ind w:firstLine="709" w:left="0"/>
        <w:jc w:val="both"/>
      </w:pPr>
      <w:r>
        <w:t>Прогноз сформирован с учетом данных главного администратора доходов - Управления Федеральной налоговой службы по Ростовской области.</w:t>
      </w:r>
    </w:p>
    <w:p w14:paraId="D5000000">
      <w:pPr>
        <w:ind w:firstLine="709" w:left="0"/>
        <w:jc w:val="both"/>
      </w:pPr>
      <w:r>
        <w:t xml:space="preserve">В основу расчета поступления </w:t>
      </w:r>
      <w:r>
        <w:t xml:space="preserve">налога на игорный бизнес приняты прогнозируемые на 2025-2027 годы объемы налоговой базы (количество </w:t>
      </w:r>
      <w:r>
        <w:t>процессинговых</w:t>
      </w:r>
      <w:r>
        <w:t xml:space="preserve"> центров интерактивных ставок, </w:t>
      </w:r>
      <w:r>
        <w:t>процессинговых</w:t>
      </w:r>
      <w:r>
        <w:t xml:space="preserve"> центров, пунктов приема ставок тотализаторов и букмекерских контор), налоговые ставки, установленные Областным законом от 10.05.2012 № 843-ЗС «О региональных налогах и некоторых вопросах налогообложения в Ростовской  области».</w:t>
      </w:r>
    </w:p>
    <w:p w14:paraId="D6000000">
      <w:pPr>
        <w:ind w:firstLine="720" w:left="0" w:right="-1"/>
        <w:jc w:val="both"/>
      </w:pPr>
      <w:r>
        <w:t>Норматив зачисления в бюджеты субъектов Российской Федерации в соответствии со статьей 56 Бюджетного кодекса Российской Федерации - 100</w:t>
      </w:r>
      <w:r>
        <w:t> </w:t>
      </w:r>
      <w:r>
        <w:t>процентов.</w:t>
      </w:r>
    </w:p>
    <w:p w14:paraId="D7000000">
      <w:pPr>
        <w:ind w:firstLine="720" w:left="0"/>
        <w:jc w:val="both"/>
      </w:pPr>
      <w:r>
        <w:t xml:space="preserve">Основные плательщики: ООО «Фортуна» </w:t>
      </w:r>
      <w:r>
        <w:t>и ООО</w:t>
      </w:r>
      <w:r>
        <w:t xml:space="preserve"> фирма «СТОМ».</w:t>
      </w:r>
    </w:p>
    <w:p w14:paraId="D8000000">
      <w:pPr>
        <w:spacing w:line="240" w:lineRule="atLeast"/>
        <w:ind w:firstLine="708" w:left="0"/>
        <w:jc w:val="center"/>
        <w:rPr>
          <w:b w:val="1"/>
          <w:i w:val="1"/>
          <w:highlight w:val="yellow"/>
        </w:rPr>
      </w:pPr>
    </w:p>
    <w:p w14:paraId="D9000000">
      <w:pPr>
        <w:spacing w:line="240" w:lineRule="atLeast"/>
        <w:ind w:firstLine="708" w:left="0"/>
        <w:jc w:val="center"/>
        <w:rPr>
          <w:b w:val="1"/>
          <w:i w:val="1"/>
        </w:rPr>
      </w:pPr>
      <w:r>
        <w:rPr>
          <w:b w:val="1"/>
          <w:i w:val="1"/>
        </w:rPr>
        <w:t>Налог на добычу полезных ископаемых</w:t>
      </w:r>
    </w:p>
    <w:p w14:paraId="DA000000">
      <w:pPr>
        <w:spacing w:line="240" w:lineRule="atLeast"/>
        <w:ind w:firstLine="708" w:left="0"/>
        <w:jc w:val="both"/>
        <w:rPr>
          <w:highlight w:val="yellow"/>
        </w:rPr>
      </w:pPr>
    </w:p>
    <w:p w14:paraId="DB000000">
      <w:pPr>
        <w:ind w:firstLine="709" w:left="0"/>
        <w:jc w:val="both"/>
      </w:pPr>
      <w:r>
        <w:t xml:space="preserve">Налог на добычу полезных ископаемых прогнозируется в 2025 году в сумме 811,4 млн рублей, в 2026 году - 839,9 млн рублей, в 2027 году - 863,3 млн рублей, исходя из </w:t>
      </w:r>
      <w:r>
        <w:t>планируемых объемов добычи полезных ископаемых, цены их реализации</w:t>
      </w:r>
      <w:r>
        <w:t>,</w:t>
      </w:r>
      <w:r>
        <w:t xml:space="preserve"> налоговых ставок, установленных статьей 342 Налогового кодекса Российской Федерации, и нормативов отчислений в областной бюджет по каждому из видов доходного источника.</w:t>
      </w:r>
    </w:p>
    <w:p w14:paraId="DC000000">
      <w:pPr>
        <w:ind w:firstLine="709" w:left="0"/>
        <w:jc w:val="both"/>
      </w:pPr>
      <w:r>
        <w:t>В 2025 году по сравнению с уточненным планом 2024 года объем поступлений увеличится на 32,7 млн рублей или на 4,2 процента, в 2026 году по сравнению с 2025 годом увеличение на 28,4 млн рублей или на 3,5 процента, в 2027 году по сравнению с 2026 годом увеличение на 23,5 млн рублей или</w:t>
      </w:r>
      <w:r>
        <w:br/>
      </w:r>
      <w:r>
        <w:t>на 2,8 процента.</w:t>
      </w:r>
    </w:p>
    <w:p w14:paraId="DD000000">
      <w:pPr>
        <w:ind w:firstLine="709" w:left="0"/>
        <w:jc w:val="both"/>
      </w:pPr>
      <w:r>
        <w:t xml:space="preserve">Расчет поступлений налога на </w:t>
      </w:r>
      <w:r>
        <w:t>добычу полезных ископаемых</w:t>
      </w:r>
      <w:r>
        <w:t xml:space="preserve"> Управлением Федеральной налоговой службы по Ростовской области основан на представленной организациями информации об объемах добычи </w:t>
      </w:r>
      <w:r>
        <w:t>полезных ископаемых, данных налоговой отчетности по форме № 5-НДПИ, динамике поступлений и показателей прогноза социально-экономического развития Ростовской области.</w:t>
      </w:r>
    </w:p>
    <w:p w14:paraId="DE000000">
      <w:pPr>
        <w:ind w:firstLine="709" w:left="0"/>
        <w:jc w:val="both"/>
      </w:pPr>
      <w:r>
        <w:t>Основные плательщики:</w:t>
      </w:r>
    </w:p>
    <w:p w14:paraId="DF000000">
      <w:pPr>
        <w:ind w:firstLine="709" w:left="0"/>
        <w:jc w:val="both"/>
      </w:pPr>
      <w:r>
        <w:t>по налогу на добычу полезных ископаемых в виде угля - ООО</w:t>
      </w:r>
      <w:r>
        <w:t> </w:t>
      </w:r>
      <w:r>
        <w:t xml:space="preserve">«Шахтоуправление </w:t>
      </w:r>
      <w:r>
        <w:t>Садкинское</w:t>
      </w:r>
      <w:r>
        <w:t>» и ОАО «Донской Уголь»;</w:t>
      </w:r>
    </w:p>
    <w:p w14:paraId="E0000000">
      <w:pPr>
        <w:ind w:firstLine="709" w:left="0"/>
        <w:jc w:val="both"/>
      </w:pPr>
      <w:r>
        <w:t>по налогу на добычу общераспространенных полезных ископаемых - ООО</w:t>
      </w:r>
      <w:r>
        <w:t> </w:t>
      </w:r>
      <w:r>
        <w:t>«</w:t>
      </w:r>
      <w:r>
        <w:t>Обуховский</w:t>
      </w:r>
      <w:r>
        <w:t xml:space="preserve"> </w:t>
      </w:r>
      <w:r>
        <w:t>щебзавод</w:t>
      </w:r>
      <w:r>
        <w:t>», ООО Донской Камень», АО «</w:t>
      </w:r>
      <w:r>
        <w:t>Замчаловское</w:t>
      </w:r>
      <w:r>
        <w:t xml:space="preserve"> </w:t>
      </w:r>
      <w:r>
        <w:t>карьероуправление</w:t>
      </w:r>
      <w:r>
        <w:t>», ООО «</w:t>
      </w:r>
      <w:r>
        <w:t>Шахтинское</w:t>
      </w:r>
      <w:r>
        <w:t xml:space="preserve"> строительное управление - 10», ООО</w:t>
      </w:r>
      <w:r>
        <w:t> </w:t>
      </w:r>
      <w:r>
        <w:t>«Комбинат строительных материалов - 14»;</w:t>
      </w:r>
    </w:p>
    <w:p w14:paraId="E1000000">
      <w:pPr>
        <w:ind w:firstLine="709" w:left="0"/>
        <w:jc w:val="both"/>
      </w:pPr>
      <w:r>
        <w:t>по налогу на добычу прочих полезных ископаемых - ООО «</w:t>
      </w:r>
      <w:r>
        <w:t>Рускальк</w:t>
      </w:r>
      <w:r>
        <w:t>», ООО</w:t>
      </w:r>
      <w:r>
        <w:t> </w:t>
      </w:r>
      <w:r>
        <w:t xml:space="preserve">«Миллеровский ГОК» </w:t>
      </w:r>
      <w:r>
        <w:t>и ООО</w:t>
      </w:r>
      <w:r>
        <w:t xml:space="preserve"> «Владимирский карьер тугоплавких глин».</w:t>
      </w:r>
    </w:p>
    <w:p w14:paraId="E2000000">
      <w:pPr>
        <w:ind w:firstLine="708" w:left="0"/>
        <w:jc w:val="both"/>
        <w:rPr>
          <w:highlight w:val="yellow"/>
        </w:rPr>
      </w:pPr>
    </w:p>
    <w:p w14:paraId="E3000000">
      <w:pPr>
        <w:ind w:firstLine="708" w:left="0"/>
        <w:jc w:val="both"/>
        <w:rPr>
          <w:highlight w:val="yellow"/>
        </w:rPr>
      </w:pPr>
    </w:p>
    <w:p w14:paraId="E4000000">
      <w:pPr>
        <w:ind w:firstLine="708" w:left="0"/>
        <w:jc w:val="center"/>
        <w:rPr>
          <w:b w:val="1"/>
          <w:i w:val="1"/>
        </w:rPr>
      </w:pPr>
      <w:r>
        <w:rPr>
          <w:b w:val="1"/>
          <w:i w:val="1"/>
        </w:rPr>
        <w:t>Сборы за пользование объектами животного мира и водных биологических ресурсов</w:t>
      </w:r>
    </w:p>
    <w:p w14:paraId="E5000000">
      <w:pPr>
        <w:ind w:firstLine="709" w:left="0"/>
        <w:jc w:val="both"/>
        <w:rPr>
          <w:highlight w:val="yellow"/>
        </w:rPr>
      </w:pPr>
    </w:p>
    <w:p w14:paraId="E6000000">
      <w:pPr>
        <w:spacing w:line="240" w:lineRule="atLeast"/>
        <w:ind w:firstLine="709" w:left="0"/>
        <w:jc w:val="both"/>
      </w:pPr>
      <w:r>
        <w:t>Сборы за пользование объектами животного мира и водных биологических ресурсов прогнозируются в 2025 году в сумме 2,4 млн рублей, в 2026 году - 2,3</w:t>
      </w:r>
      <w:r>
        <w:t> </w:t>
      </w:r>
      <w:r>
        <w:t>млн рублей, в 2027 году - 2,4 млн рублей</w:t>
      </w:r>
      <w:r>
        <w:t>.</w:t>
      </w:r>
    </w:p>
    <w:p w14:paraId="E7000000">
      <w:pPr>
        <w:ind w:firstLine="709" w:left="0"/>
        <w:jc w:val="both"/>
      </w:pPr>
      <w:r>
        <w:t xml:space="preserve">Прогнозный объем поступлений от </w:t>
      </w:r>
      <w:r>
        <w:t>сборов за пользование объектами животного мира и водных биологических ресурсов</w:t>
      </w:r>
      <w:r>
        <w:t xml:space="preserve"> сформирован Управлением Федеральной налоговой службы по Ростовской области</w:t>
      </w:r>
      <w:r>
        <w:t>.</w:t>
      </w:r>
    </w:p>
    <w:p w14:paraId="E8000000">
      <w:pPr>
        <w:ind w:firstLine="709" w:left="0"/>
        <w:jc w:val="both"/>
      </w:pPr>
      <w:r>
        <w:t>В соответствии со статьей 56 Бюджетного кодекса Российской Федерации установлены следующие нормативы отчислений в областной бюджет:</w:t>
      </w:r>
    </w:p>
    <w:p w14:paraId="E9000000">
      <w:pPr>
        <w:ind w:firstLine="709" w:left="0"/>
        <w:jc w:val="both"/>
      </w:pPr>
      <w:r>
        <w:t>- сборы за пользование объектами животного мира - 100 процентов;</w:t>
      </w:r>
    </w:p>
    <w:p w14:paraId="EA000000">
      <w:pPr>
        <w:ind w:firstLine="709" w:left="0"/>
        <w:jc w:val="both"/>
      </w:pPr>
      <w:r>
        <w:t>- сборы за пользование объектами водных биологических ресурсов - 80</w:t>
      </w:r>
      <w:r>
        <w:t> </w:t>
      </w:r>
      <w:r>
        <w:t>процентов.</w:t>
      </w:r>
    </w:p>
    <w:p w14:paraId="EB000000">
      <w:pPr>
        <w:ind w:firstLine="709" w:left="0"/>
        <w:jc w:val="both"/>
      </w:pPr>
    </w:p>
    <w:p w14:paraId="EC000000">
      <w:pPr>
        <w:ind w:firstLine="708" w:left="0"/>
        <w:jc w:val="center"/>
        <w:rPr>
          <w:b w:val="1"/>
          <w:i w:val="1"/>
        </w:rPr>
      </w:pPr>
      <w:r>
        <w:rPr>
          <w:b w:val="1"/>
          <w:i w:val="1"/>
        </w:rPr>
        <w:t>Государственная пошлина</w:t>
      </w:r>
    </w:p>
    <w:p w14:paraId="ED000000">
      <w:pPr>
        <w:spacing w:line="240" w:lineRule="atLeast"/>
        <w:ind/>
        <w:jc w:val="both"/>
        <w:rPr>
          <w:highlight w:val="yellow"/>
        </w:rPr>
      </w:pPr>
    </w:p>
    <w:p w14:paraId="EE000000">
      <w:pPr>
        <w:ind w:firstLine="709" w:left="0"/>
        <w:jc w:val="both"/>
      </w:pPr>
      <w:r>
        <w:t>Объем поступлений в областной бюджет государственной пошлины в 2025 году прогнозируется в сумме 167,8 млн рублей.</w:t>
      </w:r>
    </w:p>
    <w:p w14:paraId="EF000000">
      <w:pPr>
        <w:ind w:firstLine="709" w:left="0"/>
        <w:jc w:val="both"/>
        <w:rPr>
          <w:highlight w:val="yellow"/>
        </w:rPr>
      </w:pPr>
      <w:r>
        <w:t>Поступление государственной пошлины на 2026 и 2027 годы прогнозируется в сумме 168,5 млн рублей и 168,4 млн рублей соответственно.</w:t>
      </w:r>
    </w:p>
    <w:p w14:paraId="F0000000">
      <w:pPr>
        <w:ind w:firstLine="709" w:left="0"/>
        <w:jc w:val="both"/>
      </w:pPr>
      <w:r>
        <w:t>В 2025 году по сравнению с уточненным планом 2024 года объем поступлений увеличится на 1,1 млн рублей или на 0,6 процента, в 2026 году по сравнению с 2025 годом увеличение на 0,7 млн рублей или на 0,4 процента, в 2027 году по сравнению с 2026 годом уменьшение на 0,1 млн рублей или на</w:t>
      </w:r>
      <w:r>
        <w:t> </w:t>
      </w:r>
      <w:r>
        <w:t>0,1</w:t>
      </w:r>
      <w:r>
        <w:t> </w:t>
      </w:r>
      <w:r>
        <w:t>процента.</w:t>
      </w:r>
    </w:p>
    <w:p w14:paraId="F1000000">
      <w:pPr>
        <w:ind w:firstLine="709" w:left="0"/>
        <w:jc w:val="both"/>
      </w:pPr>
      <w:r>
        <w:t xml:space="preserve">Из 18 видов государственной пошлины, поступающей в областной бюджет, и </w:t>
      </w:r>
      <w:r>
        <w:t>администрируемой</w:t>
      </w:r>
      <w:r>
        <w:t xml:space="preserve"> как областными, так и территориальными органами федеральных органов </w:t>
      </w:r>
      <w:r>
        <w:t>исполнительной</w:t>
      </w:r>
      <w:r>
        <w:t xml:space="preserve"> власти, наибольший объем занимает </w:t>
      </w:r>
      <w:r>
        <w:t xml:space="preserve">государственная </w:t>
      </w:r>
      <w:r>
        <w:t>пошлин</w:t>
      </w:r>
      <w:r>
        <w:t>а</w:t>
      </w:r>
      <w:r>
        <w:t xml:space="preserve"> за предоставление (продление срока действия) лицензии на розничную продажу алкогольной продукции, </w:t>
      </w:r>
      <w:r>
        <w:t>администрируемая</w:t>
      </w:r>
      <w:r>
        <w:t xml:space="preserve"> департаментом потребительского рынка Ростовской области. Сумма поступлений </w:t>
      </w:r>
      <w:r>
        <w:t>государственной пошлины за предоставление лицензии на розничную продажу алкогольной продукции</w:t>
      </w:r>
      <w:r>
        <w:t xml:space="preserve"> на 2025 год </w:t>
      </w:r>
      <w:r>
        <w:t>прогнозируется в объеме 76,1 млн рублей</w:t>
      </w:r>
      <w:r>
        <w:t>.</w:t>
      </w:r>
    </w:p>
    <w:p w14:paraId="F2000000">
      <w:pPr>
        <w:ind w:firstLine="709" w:left="0"/>
        <w:jc w:val="both"/>
      </w:pPr>
      <w:r>
        <w:t xml:space="preserve">Объем поступлений в областной бюджет государственной пошлины </w:t>
      </w:r>
      <w:r>
        <w:t xml:space="preserve">за совершение </w:t>
      </w:r>
      <w:r>
        <w:t xml:space="preserve">территориальными органами федеральных органов </w:t>
      </w:r>
      <w:r>
        <w:t xml:space="preserve">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w:t>
      </w:r>
      <w:r>
        <w:t>в 2025 году с</w:t>
      </w:r>
      <w:r>
        <w:t xml:space="preserve"> учетом передачи </w:t>
      </w:r>
      <w:r>
        <w:t>в местные бюджеты по нормативу 45 процентов</w:t>
      </w:r>
      <w:r>
        <w:t xml:space="preserve"> доходов от уплаты указанной </w:t>
      </w:r>
      <w:r>
        <w:t xml:space="preserve">государственной пошлины </w:t>
      </w:r>
      <w:r>
        <w:t>прогнозируется в сумме 38,1</w:t>
      </w:r>
      <w:r>
        <w:t xml:space="preserve"> млн рублей, в том числе за государственную регистрацию прав, ограничений (обременений) прав на недвижимое имущество и сделок с ним, </w:t>
      </w:r>
      <w:r>
        <w:t>администрируемой</w:t>
      </w:r>
      <w:r>
        <w:t xml:space="preserve"> </w:t>
      </w:r>
      <w:r>
        <w:t xml:space="preserve">Управлением Федеральной службы государственной регистрации, кадастра и картографии по Ростовской области - 30,9 </w:t>
      </w:r>
      <w:r>
        <w:t xml:space="preserve">млн рублей, что ниже прогнозируемых поступлений на 2024 год на 0,3 млн рублей. </w:t>
      </w:r>
    </w:p>
    <w:p w14:paraId="F3000000">
      <w:pPr>
        <w:ind w:firstLine="708" w:left="0"/>
        <w:jc w:val="both"/>
      </w:pPr>
      <w:r>
        <w:t>Расчет доходов в виде государственной пошлины осуществлен по данным главных администраторов доходов областного бюджета, исходя из прогнозируемого количества юридически значимых действий, законодательно установленного размера государственной пошлины. Динамика поступлений обусловлена заявительным характером оформления юридически значимых действий.</w:t>
      </w:r>
    </w:p>
    <w:p w14:paraId="F4000000">
      <w:pPr>
        <w:ind/>
        <w:jc w:val="center"/>
        <w:rPr>
          <w:b w:val="1"/>
        </w:rPr>
      </w:pPr>
      <w:r>
        <w:rPr>
          <w:b w:val="1"/>
        </w:rPr>
        <w:t>Неналоговые доходы</w:t>
      </w:r>
    </w:p>
    <w:p w14:paraId="F5000000">
      <w:pPr>
        <w:ind/>
        <w:jc w:val="center"/>
        <w:rPr>
          <w:b w:val="1"/>
          <w:highlight w:val="yellow"/>
        </w:rPr>
      </w:pPr>
    </w:p>
    <w:p w14:paraId="F6000000">
      <w:pPr>
        <w:ind/>
        <w:jc w:val="center"/>
        <w:rPr>
          <w:b w:val="1"/>
          <w:i w:val="1"/>
        </w:rPr>
      </w:pPr>
      <w:r>
        <w:rPr>
          <w:b w:val="1"/>
          <w:i w:val="1"/>
        </w:rPr>
        <w:t>Доходы от использования имущества, находящегося в государственной и муниципальной собственности</w:t>
      </w:r>
    </w:p>
    <w:p w14:paraId="F7000000">
      <w:pPr>
        <w:ind/>
        <w:jc w:val="both"/>
        <w:rPr>
          <w:highlight w:val="yellow"/>
        </w:rPr>
      </w:pPr>
    </w:p>
    <w:p w14:paraId="F8000000">
      <w:pPr>
        <w:ind w:firstLine="709" w:left="0"/>
        <w:contextualSpacing w:val="1"/>
        <w:jc w:val="both"/>
      </w:pPr>
      <w:r>
        <w:t>Доходы от использования имущества, находящегося в государственной собственности Ростовской области, на 2025 год прогнозируются в сумме 156,9</w:t>
      </w:r>
      <w:r>
        <w:t> </w:t>
      </w:r>
      <w:r>
        <w:t>млн рублей.</w:t>
      </w:r>
    </w:p>
    <w:p w14:paraId="F9000000">
      <w:pPr>
        <w:ind w:firstLine="709" w:left="0"/>
        <w:contextualSpacing w:val="1"/>
        <w:jc w:val="both"/>
      </w:pPr>
      <w:r>
        <w:t>Поступления доходов от использования имущества, находящегося в государственной собственности Ростовской области, в 2026-2027 годах прогнозируются в сумме 158,8 млн рублей и 165,4 млн рублей соответственно</w:t>
      </w:r>
      <w:r>
        <w:t>.</w:t>
      </w:r>
    </w:p>
    <w:p w14:paraId="FA000000">
      <w:pPr>
        <w:ind w:firstLine="709" w:left="0"/>
        <w:jc w:val="both"/>
      </w:pPr>
      <w:r>
        <w:t xml:space="preserve">В 2025 году по сравнению с уточненным </w:t>
      </w:r>
      <w:r>
        <w:t xml:space="preserve">планом 2024 года объем поступлений уменьшится на 1 428,9 млн рублей или на 90,1 процента в основном </w:t>
      </w:r>
      <w:r>
        <w:t>за счёт доходов от операций по управлению остатками средств на едином казначейском счете, зачисляемым в бюджеты субъектов Российской Федерации (указанные поступления будут учитываться в ходе исполнения бюджета в 2025 году по факту зачисления средств),</w:t>
      </w:r>
      <w:r>
        <w:t xml:space="preserve"> в 2026</w:t>
      </w:r>
      <w:r>
        <w:t xml:space="preserve"> году по сравнению с 2025 годом увеличится на 1,9 млн рублей или на 1,2 процента, в 2027</w:t>
      </w:r>
      <w:r>
        <w:t xml:space="preserve"> году по сравнению с 2026 годом увеличение </w:t>
      </w:r>
      <w:r>
        <w:t>на</w:t>
      </w:r>
      <w:r>
        <w:t xml:space="preserve"> 6,6 млн рублей или на 4,1 процента.</w:t>
      </w:r>
    </w:p>
    <w:p w14:paraId="FB000000">
      <w:pPr>
        <w:ind w:firstLine="709" w:left="0"/>
        <w:contextualSpacing w:val="1"/>
        <w:jc w:val="both"/>
      </w:pPr>
      <w:r>
        <w:t>В составе доходов от использования имущества, находящегося в государственной собственности Ростовской области, на 2025 год учтены следующие доходные источники:</w:t>
      </w:r>
    </w:p>
    <w:p w14:paraId="FC000000">
      <w:pPr>
        <w:ind w:firstLine="709" w:left="0"/>
        <w:contextualSpacing w:val="1"/>
        <w:jc w:val="both"/>
      </w:pPr>
      <w:r>
        <w:t>1) доходы, получаемые в виде</w:t>
      </w:r>
      <w:r>
        <w:t xml:space="preserve"> арендной платы, в сумме 117,5 млн рублей, из них за земельные участки, находящиеся в собственности Ростовской области - 107,6 млн рублей и от сдачи в аренду имущества - 9,1 </w:t>
      </w:r>
      <w:r>
        <w:t>млн рублей;</w:t>
      </w:r>
    </w:p>
    <w:p w14:paraId="FD000000">
      <w:pPr>
        <w:ind w:firstLine="709" w:left="0"/>
        <w:contextualSpacing w:val="1"/>
        <w:jc w:val="both"/>
      </w:pPr>
      <w:r>
        <w:t>2) проценты, полученные от предоставления бюджетных кредитов за счет средств областного бюджета, в сумме 2,5 млн рублей, в том числе за пользование кредитами, предоставляемыми муниципальным образованиям, исходя из 0,1</w:t>
      </w:r>
      <w:r>
        <w:t> </w:t>
      </w:r>
      <w:r>
        <w:t>процента годовых;</w:t>
      </w:r>
    </w:p>
    <w:p w14:paraId="FE000000">
      <w:pPr>
        <w:ind w:firstLine="709" w:left="0"/>
        <w:contextualSpacing w:val="1"/>
        <w:jc w:val="both"/>
      </w:pPr>
      <w:r>
        <w:t>3) доходы от перечисления части прибыли, остающейся после уплаты налогов и иных обязательных платежей областных государственных унитарных предприятий, в сумме 8,7 млн рублей;</w:t>
      </w:r>
    </w:p>
    <w:p w14:paraId="FF000000">
      <w:pPr>
        <w:ind w:firstLine="709" w:left="0"/>
        <w:contextualSpacing w:val="1"/>
        <w:jc w:val="both"/>
      </w:pPr>
      <w:r>
        <w:t>4) доходы в виде дивидендов по акциям, принадлежащим Ростовской области, от акционерных обществ с долей участия Ростовской области в сумме 28,3 млн рублей.</w:t>
      </w:r>
    </w:p>
    <w:p w14:paraId="00010000">
      <w:pPr>
        <w:ind w:firstLine="709" w:left="0"/>
        <w:jc w:val="both"/>
        <w:rPr>
          <w:i w:val="1"/>
        </w:rPr>
      </w:pPr>
      <w:r>
        <w:t>Ростовская область является собственником акций 16 акционерных обществ, из них в 11 обществах Ростовская область владеет акциями в объеме 100</w:t>
      </w:r>
      <w:r>
        <w:t> </w:t>
      </w:r>
      <w:r>
        <w:t>процентов.</w:t>
      </w:r>
    </w:p>
    <w:p w14:paraId="01010000">
      <w:pPr>
        <w:ind w:firstLine="709" w:left="0"/>
        <w:contextualSpacing w:val="1"/>
        <w:jc w:val="both"/>
        <w:rPr>
          <w:highlight w:val="yellow"/>
        </w:rPr>
      </w:pPr>
    </w:p>
    <w:p w14:paraId="02010000">
      <w:pPr>
        <w:ind/>
        <w:jc w:val="center"/>
        <w:rPr>
          <w:i w:val="1"/>
        </w:rPr>
      </w:pPr>
      <w:r>
        <w:rPr>
          <w:b w:val="1"/>
          <w:i w:val="1"/>
        </w:rPr>
        <w:t>Платежи при пользовании недрами</w:t>
      </w:r>
    </w:p>
    <w:p w14:paraId="03010000">
      <w:pPr>
        <w:ind w:firstLine="540" w:left="0"/>
        <w:jc w:val="both"/>
        <w:rPr>
          <w:highlight w:val="yellow"/>
        </w:rPr>
      </w:pPr>
    </w:p>
    <w:p w14:paraId="04010000">
      <w:pPr>
        <w:ind w:firstLine="709" w:left="0"/>
        <w:jc w:val="both"/>
      </w:pPr>
      <w:r>
        <w:t xml:space="preserve">Объем поступлений по платежам при пользовании недрами на 2025 год </w:t>
      </w:r>
      <w:r>
        <w:t xml:space="preserve">и на плановый период  </w:t>
      </w:r>
      <w:r>
        <w:t xml:space="preserve">2026 и 2027 годов прогнозируется в сумме </w:t>
      </w:r>
      <w:r>
        <w:t xml:space="preserve">11,0 млн рублей </w:t>
      </w:r>
      <w:r>
        <w:t>ежегодно</w:t>
      </w:r>
      <w:r>
        <w:t>.</w:t>
      </w:r>
    </w:p>
    <w:p w14:paraId="05010000">
      <w:pPr>
        <w:ind w:firstLine="709" w:left="0"/>
        <w:jc w:val="both"/>
      </w:pPr>
      <w:r>
        <w:t xml:space="preserve">В 2025 году по сравнению с уточненным планом 2024 года объем поступлений увеличится на 1,1 млн рублей или на 11,4 процента, </w:t>
      </w:r>
      <w:r>
        <w:t xml:space="preserve">в 2026 и 2027 годах </w:t>
      </w:r>
      <w:r>
        <w:t>объем поступлений планируется на уровне 2025 года.</w:t>
      </w:r>
    </w:p>
    <w:p w14:paraId="06010000">
      <w:pPr>
        <w:ind w:firstLine="720" w:left="0"/>
        <w:jc w:val="both"/>
      </w:pPr>
      <w:r>
        <w:t xml:space="preserve">В предстоящий период 2025-2027 годов предполагается увеличение количества заявок </w:t>
      </w:r>
      <w:r>
        <w:t>на получение права пользования участками недр местного</w:t>
      </w:r>
      <w:r>
        <w:t xml:space="preserve"> значения, содержащих значительные запасы полезных ископаемых. </w:t>
      </w:r>
    </w:p>
    <w:p w14:paraId="07010000">
      <w:pPr>
        <w:ind w:firstLine="709" w:left="0"/>
        <w:jc w:val="both"/>
      </w:pPr>
      <w:r>
        <w:t xml:space="preserve">Прогнозный объем поступлений по </w:t>
      </w:r>
      <w:r>
        <w:t>платежам при пользовании недрами</w:t>
      </w:r>
      <w:r>
        <w:t xml:space="preserve"> сформирован:</w:t>
      </w:r>
    </w:p>
    <w:p w14:paraId="08010000">
      <w:pPr>
        <w:ind w:firstLine="709" w:left="0"/>
        <w:jc w:val="both"/>
      </w:pPr>
      <w:r>
        <w:t xml:space="preserve">Министерством природных ресурсов и экологии Ростовской области по </w:t>
      </w:r>
      <w:r>
        <w:t>администрируемым</w:t>
      </w:r>
      <w:r>
        <w:t xml:space="preserve"> разовым платежам, экспертизе запасов полезных ископаемых и сборам за участие в конкурсах;</w:t>
      </w:r>
    </w:p>
    <w:p w14:paraId="09010000">
      <w:pPr>
        <w:ind w:firstLine="709" w:left="0"/>
        <w:jc w:val="both"/>
      </w:pPr>
      <w:r>
        <w:t xml:space="preserve">Управлением Федеральной налоговой службы по Ростовской области по </w:t>
      </w:r>
      <w:r>
        <w:t>регулярным платежам за пользование недрами.</w:t>
      </w:r>
    </w:p>
    <w:p w14:paraId="0A010000">
      <w:pPr>
        <w:ind/>
        <w:jc w:val="center"/>
        <w:rPr>
          <w:b w:val="1"/>
          <w:i w:val="1"/>
        </w:rPr>
      </w:pPr>
    </w:p>
    <w:p w14:paraId="0B010000">
      <w:pPr>
        <w:ind/>
        <w:jc w:val="center"/>
        <w:rPr>
          <w:b w:val="1"/>
          <w:i w:val="1"/>
        </w:rPr>
      </w:pPr>
      <w:r>
        <w:rPr>
          <w:b w:val="1"/>
          <w:i w:val="1"/>
        </w:rPr>
        <w:t>Плата за использование лесов</w:t>
      </w:r>
    </w:p>
    <w:p w14:paraId="0C010000">
      <w:pPr>
        <w:ind w:firstLine="708" w:left="0"/>
        <w:jc w:val="center"/>
        <w:rPr>
          <w:i w:val="1"/>
          <w:highlight w:val="yellow"/>
        </w:rPr>
      </w:pPr>
    </w:p>
    <w:p w14:paraId="0D010000">
      <w:pPr>
        <w:ind w:firstLine="709" w:left="0"/>
        <w:jc w:val="both"/>
      </w:pPr>
      <w:r>
        <w:t xml:space="preserve">Объем поступлений по плате за использование лесов на 2025 год прогнозируется в сумме </w:t>
      </w:r>
      <w:r>
        <w:t xml:space="preserve">2,4 млн рублей и на плановый период  </w:t>
      </w:r>
      <w:r>
        <w:t xml:space="preserve">2026 и 2027 годов в сумме </w:t>
      </w:r>
      <w:r>
        <w:t>2,5 млн рублей ежегодно.</w:t>
      </w:r>
    </w:p>
    <w:p w14:paraId="0E010000">
      <w:pPr>
        <w:ind w:firstLine="720" w:left="0"/>
        <w:jc w:val="both"/>
      </w:pPr>
      <w:r>
        <w:t xml:space="preserve">Прогнозный объем поступлений по </w:t>
      </w:r>
      <w:r>
        <w:t>плате за использование лесов</w:t>
      </w:r>
      <w:r>
        <w:t xml:space="preserve"> сформирован Министерством природных ресурсов и экологии Ростовской области.</w:t>
      </w:r>
    </w:p>
    <w:p w14:paraId="0F010000">
      <w:pPr>
        <w:ind/>
        <w:jc w:val="center"/>
        <w:rPr>
          <w:b w:val="1"/>
          <w:i w:val="1"/>
        </w:rPr>
      </w:pPr>
    </w:p>
    <w:p w14:paraId="10010000">
      <w:pPr>
        <w:ind/>
        <w:jc w:val="center"/>
        <w:rPr>
          <w:b w:val="1"/>
          <w:i w:val="1"/>
          <w:highlight w:val="yellow"/>
        </w:rPr>
      </w:pPr>
      <w:r>
        <w:rPr>
          <w:b w:val="1"/>
          <w:i w:val="1"/>
        </w:rPr>
        <w:t>Доходы от оказания платных услуг и компенсации затрат государства</w:t>
      </w:r>
    </w:p>
    <w:p w14:paraId="11010000">
      <w:pPr>
        <w:ind/>
        <w:jc w:val="center"/>
        <w:rPr>
          <w:b w:val="1"/>
          <w:i w:val="1"/>
          <w:highlight w:val="yellow"/>
        </w:rPr>
      </w:pPr>
    </w:p>
    <w:p w14:paraId="12010000">
      <w:pPr>
        <w:ind w:firstLine="708" w:left="0"/>
        <w:jc w:val="both"/>
      </w:pPr>
      <w:r>
        <w:t>В составе неналоговых доходов областного бюджета на 2025 год также прогнозируются доходы от оказания платных услуг и компенсации затрат государства в сумме 56,6 млн рублей, в том числе: от оказания платных услуг государственными казенными учреждениями Ростовской области (11,3</w:t>
      </w:r>
      <w:r>
        <w:t> </w:t>
      </w:r>
      <w:r>
        <w:t>млн</w:t>
      </w:r>
      <w:r>
        <w:t> </w:t>
      </w:r>
      <w:r>
        <w:t>рублей) и доходы, поступающие в порядке возмещения расходов, понесенных в связи с эксплуатацией имущества (45,3 млн рублей).</w:t>
      </w:r>
    </w:p>
    <w:p w14:paraId="13010000">
      <w:pPr>
        <w:pStyle w:val="Style_6"/>
        <w:spacing w:after="0" w:line="240" w:lineRule="auto"/>
        <w:ind w:firstLine="709" w:left="0"/>
        <w:jc w:val="both"/>
        <w:rPr>
          <w:rFonts w:ascii="Times New Roman" w:hAnsi="Times New Roman"/>
          <w:sz w:val="28"/>
        </w:rPr>
      </w:pPr>
      <w:r>
        <w:rPr>
          <w:rFonts w:ascii="Times New Roman" w:hAnsi="Times New Roman"/>
          <w:sz w:val="28"/>
        </w:rPr>
        <w:t>Поступления доходов от оказания платных услуг (работ) и компенсации затрат государства в 2026-2027 годах прогнозируются в объеме 56,4 млн рублей и 56,5 млн рублей соответственно.</w:t>
      </w:r>
    </w:p>
    <w:p w14:paraId="14010000">
      <w:pPr>
        <w:ind/>
        <w:jc w:val="center"/>
        <w:rPr>
          <w:b w:val="1"/>
          <w:i w:val="1"/>
          <w:highlight w:val="yellow"/>
        </w:rPr>
      </w:pPr>
    </w:p>
    <w:p w14:paraId="15010000">
      <w:pPr>
        <w:ind/>
        <w:jc w:val="center"/>
        <w:rPr>
          <w:b w:val="1"/>
          <w:i w:val="1"/>
        </w:rPr>
      </w:pPr>
      <w:r>
        <w:rPr>
          <w:b w:val="1"/>
          <w:i w:val="1"/>
        </w:rPr>
        <w:t>Доходы от продажи материальных и нематериальных активов</w:t>
      </w:r>
    </w:p>
    <w:p w14:paraId="16010000">
      <w:pPr>
        <w:pStyle w:val="Style_6"/>
        <w:spacing w:after="0" w:line="240" w:lineRule="auto"/>
        <w:ind w:firstLine="709" w:left="0"/>
        <w:jc w:val="both"/>
        <w:rPr>
          <w:sz w:val="28"/>
          <w:highlight w:val="yellow"/>
        </w:rPr>
      </w:pPr>
    </w:p>
    <w:p w14:paraId="17010000">
      <w:pPr>
        <w:ind w:firstLine="539" w:left="0"/>
        <w:jc w:val="both"/>
      </w:pPr>
      <w:r>
        <w:t>Исходя из предполагаемых способов приватизации государственного имущества Ростовской области</w:t>
      </w:r>
      <w:r>
        <w:t xml:space="preserve"> в соответствии с проектом областного закона «О</w:t>
      </w:r>
      <w:r>
        <w:t> </w:t>
      </w:r>
      <w:r>
        <w:t>Прогнозном плане (программе) приватизации государственного имущества Ростовской области на плановый период 2025 - 2027 годов»</w:t>
      </w:r>
      <w:r>
        <w:t>, в 2025 году поступления в областной бюджет доходов от приватизации прогнозируются в объеме 8,2 млн рублей</w:t>
      </w:r>
      <w:r>
        <w:t>.</w:t>
      </w:r>
    </w:p>
    <w:p w14:paraId="18010000">
      <w:pPr>
        <w:ind w:firstLine="539" w:left="0"/>
        <w:jc w:val="both"/>
      </w:pPr>
      <w:r>
        <w:t>В 2025 году планируется осуществить приватизацию 3 объектов государственного имущества казны Ростовской области путем продажи на аукционе</w:t>
      </w:r>
      <w:r>
        <w:t>.</w:t>
      </w:r>
    </w:p>
    <w:p w14:paraId="19010000">
      <w:pPr>
        <w:ind w:firstLine="539" w:left="0"/>
        <w:jc w:val="both"/>
      </w:pPr>
      <w:r>
        <w:t>Поступления от продажи земельных участков, находящихся в областной собственности, в 2025-2027 годах прогнозируются в сумме по 50,0 тыс. рублей ежегодно.</w:t>
      </w:r>
    </w:p>
    <w:p w14:paraId="1A010000">
      <w:pPr>
        <w:ind w:firstLine="539" w:left="0"/>
        <w:jc w:val="both"/>
      </w:pPr>
    </w:p>
    <w:p w14:paraId="1B010000">
      <w:pPr>
        <w:ind/>
        <w:jc w:val="center"/>
        <w:rPr>
          <w:b w:val="1"/>
          <w:i w:val="1"/>
        </w:rPr>
      </w:pPr>
      <w:r>
        <w:rPr>
          <w:b w:val="1"/>
          <w:i w:val="1"/>
        </w:rPr>
        <w:t>Административные платежи и сборы</w:t>
      </w:r>
    </w:p>
    <w:p w14:paraId="1C010000">
      <w:pPr>
        <w:ind w:firstLine="709" w:left="0"/>
        <w:jc w:val="both"/>
        <w:rPr>
          <w:highlight w:val="yellow"/>
        </w:rPr>
      </w:pPr>
    </w:p>
    <w:p w14:paraId="1D010000">
      <w:pPr>
        <w:ind w:firstLine="709" w:left="0"/>
        <w:jc w:val="both"/>
      </w:pPr>
      <w:r>
        <w:t>Административные платежи и сборы в 2025 году</w:t>
      </w:r>
      <w:r>
        <w:t xml:space="preserve"> прогнозируются</w:t>
      </w:r>
      <w:r>
        <w:t xml:space="preserve"> в объеме 0,2 млн рублей</w:t>
      </w:r>
      <w:r>
        <w:t xml:space="preserve"> по данным главных администраторов доходов областного бюджета</w:t>
      </w:r>
      <w:r>
        <w:t xml:space="preserve">: </w:t>
      </w:r>
    </w:p>
    <w:p w14:paraId="1E010000">
      <w:pPr>
        <w:ind w:firstLine="709" w:left="0"/>
        <w:jc w:val="both"/>
      </w:pPr>
      <w:r>
        <w:t xml:space="preserve">министерства труда и социального развития Ростовской области (плата за предоставление государственных услуг по государственной экспертизе условий труда на территории Ростовской области в соответствии с </w:t>
      </w:r>
      <w:r>
        <w:t xml:space="preserve">постановлением Правительства Ростовской области </w:t>
      </w:r>
      <w:r>
        <w:t>от 06.04.2015 № 244 «Об утверждении Порядка определения размера платы за проведение государственной экспертизы условий труда в целях оценки качества проведения специальной оценки условий труда») - 74,1 тыс. рублей;</w:t>
      </w:r>
    </w:p>
    <w:p w14:paraId="1F010000">
      <w:pPr>
        <w:ind w:firstLine="709" w:left="0"/>
        <w:jc w:val="both"/>
      </w:pPr>
      <w:r>
        <w:t xml:space="preserve">управления государственного надзора за техническим состоянием самоходных машин и других видов техники Ростовской области (выдача справок </w:t>
      </w:r>
      <w:r>
        <w:t>владельцу машины о совершенных регистрационных действиях в соответствии с постановлением Правительства Ростовской области от 01.06.2012 № 461 «Об</w:t>
      </w:r>
      <w:r>
        <w:t> </w:t>
      </w:r>
      <w:r>
        <w:t>установлении размеров сборов, взимаемых органами государственного надзора за техническим состоянием самоходных машин и других видов техники в Ростовской области»</w:t>
      </w:r>
      <w:r>
        <w:t>) - 14,5 тыс. рублей;</w:t>
      </w:r>
    </w:p>
    <w:p w14:paraId="20010000">
      <w:pPr>
        <w:ind w:firstLine="709" w:left="0"/>
        <w:jc w:val="both"/>
      </w:pPr>
      <w:r>
        <w:t>министерства природных ресурсов и экологии Ростовской области (сборы на проведение государственной экологической экспертизы в соответствии с Областным законом от 03.11.2006 № 578-ЗС «Об экологической экспертизе в Ростовской области») - 95,6 тыс. рублей.</w:t>
      </w:r>
    </w:p>
    <w:p w14:paraId="21010000">
      <w:pPr>
        <w:ind w:firstLine="709" w:left="0"/>
        <w:contextualSpacing w:val="1"/>
        <w:jc w:val="both"/>
      </w:pPr>
      <w:r>
        <w:t>Поступления административных платежей и сборов в 2026-2027 годах прогнозируются в сумме 0,2 млн рублей ежегодно.</w:t>
      </w:r>
    </w:p>
    <w:p w14:paraId="22010000">
      <w:pPr>
        <w:ind/>
        <w:jc w:val="center"/>
        <w:rPr>
          <w:b w:val="1"/>
          <w:i w:val="1"/>
        </w:rPr>
      </w:pPr>
    </w:p>
    <w:p w14:paraId="23010000">
      <w:pPr>
        <w:ind/>
        <w:jc w:val="center"/>
        <w:rPr>
          <w:b w:val="1"/>
          <w:i w:val="1"/>
        </w:rPr>
      </w:pPr>
      <w:r>
        <w:rPr>
          <w:b w:val="1"/>
          <w:i w:val="1"/>
        </w:rPr>
        <w:t>Штрафы, санкции, возмещение ущерба</w:t>
      </w:r>
    </w:p>
    <w:p w14:paraId="24010000">
      <w:pPr>
        <w:ind/>
        <w:jc w:val="center"/>
        <w:rPr>
          <w:b w:val="1"/>
          <w:i w:val="1"/>
          <w:highlight w:val="yellow"/>
        </w:rPr>
      </w:pPr>
    </w:p>
    <w:p w14:paraId="25010000">
      <w:pPr>
        <w:ind w:firstLine="709" w:left="0"/>
        <w:contextualSpacing w:val="1"/>
        <w:jc w:val="both"/>
      </w:pPr>
      <w:r>
        <w:t xml:space="preserve">Штрафы, санкции, возмещение ущерба в 2025 году прогнозируются в сумме 2 550,4 млн рублей, из них наибольший объем 1 412,0 млн рублей прогнозируется по главному администратору доходов - Главному управлению Министерства внутренних дел России по Ростовской области по штрафам за нарушение законодательства Российской Федерации о безопасности дорожного движения. </w:t>
      </w:r>
      <w:r>
        <w:t>Поступления от денежных взысканий (штрафов) за нарушение законодательства Российской Федерации о безопасности дорожного движения входят в состав источников дорожного фонда Ростовской области.</w:t>
      </w:r>
    </w:p>
    <w:p w14:paraId="26010000">
      <w:pPr>
        <w:ind w:firstLine="709" w:left="0"/>
        <w:jc w:val="both"/>
      </w:pPr>
      <w:r>
        <w:t>В 2025 году по сравнению с уточненным планом 2024 года объем поступлений уменьшится на 59,1 млн рублей или на 2,3 процента, в 2026 году по сравнению с 2025 годом увеличение на 29,8 млн рублей или на 1,2 процента, в 2027 году по сравнению с 2026 годом увеличение на 29,5 млн рублей или на</w:t>
      </w:r>
      <w:r>
        <w:t> </w:t>
      </w:r>
      <w:r>
        <w:t>1,1</w:t>
      </w:r>
      <w:r>
        <w:t> </w:t>
      </w:r>
      <w:r>
        <w:t>процента.</w:t>
      </w:r>
    </w:p>
    <w:p w14:paraId="27010000">
      <w:pPr>
        <w:ind w:firstLine="709" w:left="0"/>
        <w:jc w:val="both"/>
      </w:pPr>
      <w:r>
        <w:t>Зачисление штрафов и иных сумм принудительного изъятия осуществляется по нормативам, установленным статьей 46 Бюджетного кодекса Российской Федерации.</w:t>
      </w:r>
    </w:p>
    <w:p w14:paraId="28010000">
      <w:pPr>
        <w:ind w:firstLine="709" w:left="0"/>
        <w:jc w:val="both"/>
      </w:pPr>
      <w:r>
        <w:t>Размеры административных штрафов утверждены Кодексом Российской Федерации об административных правонарушениях и Областным законом от 25.10.2002 № 273-ЗС «Об административных правонарушениях».</w:t>
      </w:r>
    </w:p>
    <w:p w14:paraId="29010000">
      <w:pPr>
        <w:ind/>
        <w:jc w:val="both"/>
      </w:pPr>
      <w:r>
        <w:tab/>
      </w:r>
      <w:r>
        <w:t>Поступления штрафов, санкций, возмещения ущерба в 2026-2027 годах прогнозируются в сумме 2 580,1 млн рублей и 2 609,6 млн рублей соответственно.</w:t>
      </w:r>
      <w:r>
        <w:t xml:space="preserve"> </w:t>
      </w:r>
    </w:p>
    <w:p w14:paraId="2A010000">
      <w:pPr>
        <w:tabs>
          <w:tab w:leader="none" w:pos="900" w:val="left"/>
        </w:tabs>
        <w:ind/>
        <w:jc w:val="center"/>
        <w:rPr>
          <w:b w:val="1"/>
          <w:i w:val="1"/>
        </w:rPr>
      </w:pPr>
    </w:p>
    <w:p w14:paraId="2B010000">
      <w:pPr>
        <w:tabs>
          <w:tab w:leader="none" w:pos="900" w:val="left"/>
        </w:tabs>
        <w:ind/>
        <w:jc w:val="center"/>
        <w:rPr>
          <w:b w:val="1"/>
          <w:i w:val="1"/>
        </w:rPr>
      </w:pPr>
      <w:r>
        <w:rPr>
          <w:b w:val="1"/>
          <w:i w:val="1"/>
        </w:rPr>
        <w:t>Безвозмездные поступления</w:t>
      </w:r>
    </w:p>
    <w:p w14:paraId="2C010000">
      <w:pPr>
        <w:pStyle w:val="Style_2"/>
        <w:ind w:firstLine="709" w:left="0"/>
        <w:rPr>
          <w:b w:val="1"/>
        </w:rPr>
      </w:pPr>
    </w:p>
    <w:p w14:paraId="2D010000">
      <w:pPr>
        <w:ind w:firstLine="709" w:left="0"/>
        <w:jc w:val="both"/>
      </w:pPr>
      <w:r>
        <w:t>Безвозмездные поступления предлагаются к 1 чтению на 2025 год в объеме - 53 346,8 млн рублей, на 2026 год - 36 226,2 млн рублей, на 2027 год в связи с отсутствием на момент формирования бюджета распределения федеральных трансфертов к 1 чтению безвозмездные поступления не запланированы.</w:t>
      </w:r>
    </w:p>
    <w:p w14:paraId="2E010000">
      <w:pPr>
        <w:ind w:firstLine="709" w:left="0"/>
        <w:jc w:val="both"/>
      </w:pPr>
      <w:r>
        <w:t>Дотация на выравнивание бюджетной обеспеченности учтена в объеме, утвержденном Областным законом от 14.12.2023 № 58-ЗС «Об областном бюджете на 2024 год и на плановый период 2025 и 2026 годов», на 2025 год - 15 245,2 млн рублей и на 2026 год - 13 936,3 млн рублей соответственно.</w:t>
      </w:r>
    </w:p>
    <w:p w14:paraId="2F010000">
      <w:pPr>
        <w:ind w:firstLine="708" w:left="0"/>
        <w:jc w:val="both"/>
      </w:pPr>
      <w:r>
        <w:t>Целевые федеральные трансферты учтены в объеме на 2025 год - 38 101,6 млн рублей, на 2026 год - 22 289,9 млн рублей на основании значений, утвержденных Областным законом от 14.12.2023 № 58-ЗС «Об областном бюджете на 2024 год и на плановый период 2025 и 2026 годов».</w:t>
      </w:r>
    </w:p>
    <w:p w14:paraId="30010000">
      <w:pPr>
        <w:ind w:firstLine="708" w:left="0"/>
        <w:jc w:val="both"/>
      </w:pPr>
      <w:r>
        <w:t>По результатам рассмотрения проекта федерального бюджета на 2025-2027 годы в Государственной Думе Российской Федерации объем межбюджетных трансфертов из федерального бюджета будет уточнен ко 2 чтению.</w:t>
      </w:r>
    </w:p>
    <w:p w14:paraId="31010000">
      <w:pPr>
        <w:ind/>
        <w:jc w:val="center"/>
        <w:rPr>
          <w:b w:val="1"/>
        </w:rPr>
      </w:pPr>
    </w:p>
    <w:p w14:paraId="32010000">
      <w:pPr>
        <w:ind/>
        <w:jc w:val="center"/>
        <w:rPr>
          <w:b w:val="1"/>
          <w:sz w:val="32"/>
        </w:rPr>
      </w:pPr>
      <w:r>
        <w:rPr>
          <w:b w:val="1"/>
        </w:rPr>
        <w:t>IV</w:t>
      </w:r>
      <w:r>
        <w:rPr>
          <w:b w:val="1"/>
          <w:sz w:val="32"/>
        </w:rPr>
        <w:t xml:space="preserve">. Расходы областного бюджета на 2025 год и </w:t>
      </w:r>
    </w:p>
    <w:p w14:paraId="33010000">
      <w:pPr>
        <w:ind/>
        <w:jc w:val="center"/>
        <w:rPr>
          <w:b w:val="1"/>
          <w:sz w:val="32"/>
        </w:rPr>
      </w:pPr>
      <w:r>
        <w:rPr>
          <w:b w:val="1"/>
          <w:sz w:val="32"/>
        </w:rPr>
        <w:t>на плановый период 2026 и 2027 годов</w:t>
      </w:r>
    </w:p>
    <w:p w14:paraId="34010000"/>
    <w:p w14:paraId="35010000">
      <w:pPr>
        <w:ind/>
        <w:jc w:val="center"/>
        <w:rPr>
          <w:b w:val="1"/>
        </w:rPr>
      </w:pPr>
      <w:r>
        <w:rPr>
          <w:b w:val="1"/>
        </w:rPr>
        <w:t>Особенности формирования расходов</w:t>
      </w:r>
    </w:p>
    <w:p w14:paraId="36010000">
      <w:pPr>
        <w:ind/>
        <w:jc w:val="center"/>
        <w:rPr>
          <w:b w:val="1"/>
        </w:rPr>
      </w:pPr>
      <w:r>
        <w:rPr>
          <w:b w:val="1"/>
        </w:rPr>
        <w:t>областного бюджета на 2025 – 2027 годы</w:t>
      </w:r>
    </w:p>
    <w:p w14:paraId="37010000">
      <w:pPr>
        <w:ind/>
        <w:jc w:val="center"/>
        <w:rPr>
          <w:b w:val="1"/>
        </w:rPr>
      </w:pPr>
    </w:p>
    <w:p w14:paraId="38010000">
      <w:pPr>
        <w:widowControl w:val="0"/>
        <w:spacing w:line="228" w:lineRule="auto"/>
        <w:ind w:firstLine="709" w:left="0"/>
        <w:jc w:val="both"/>
      </w:pPr>
      <w:r>
        <w:t xml:space="preserve">Главной целью бюджетной политики остается сохранение стабильности бюджетной системы в целях выполнения обязательств перед гражданами, повышения качества жизни, развития социальной сферы и инфраструктуры. </w:t>
      </w:r>
    </w:p>
    <w:p w14:paraId="39010000">
      <w:pPr>
        <w:widowControl w:val="0"/>
        <w:ind w:firstLine="709" w:left="0"/>
        <w:jc w:val="both"/>
      </w:pPr>
      <w:r>
        <w:t>Особенностью бюджетной политики Ростовской области на 2025-2027 годы является формирование областного бюджета на очередной финансовый год и плановый период с учетом реализации новых национальных проектов.</w:t>
      </w:r>
    </w:p>
    <w:p w14:paraId="3A010000">
      <w:pPr>
        <w:widowControl w:val="0"/>
        <w:spacing w:line="228" w:lineRule="auto"/>
        <w:ind w:firstLine="709" w:left="0"/>
        <w:jc w:val="both"/>
      </w:pPr>
      <w:r>
        <w:t>Основные ориентиры новых национальных проектов сконцентрированы, по-прежнему, на сохранении численности населения, укреплении здоровья, повышении благополучия людей, реализации потенциала, развитии талантов каждого человека, а также формировании комфортной и безопасной среды для жизни.</w:t>
      </w:r>
    </w:p>
    <w:p w14:paraId="3B010000">
      <w:pPr>
        <w:widowControl w:val="0"/>
        <w:ind w:firstLine="709" w:left="0"/>
        <w:jc w:val="both"/>
        <w:rPr>
          <w:b w:val="1"/>
        </w:rPr>
      </w:pPr>
      <w:r>
        <w:t>Продолжится реализация инфраструктурных проектов, источником финансового обеспечения которых являются бюджетные кредиты из</w:t>
      </w:r>
      <w:r>
        <w:t> </w:t>
      </w:r>
      <w:r>
        <w:t>федерального бюджета, в целях ускоренного решения задач по строительству и модернизации объектов инфраструктуры, находящейся в государственной и муниципальной собственности, в том числе в сфере жилищно-коммунального хозяйства.</w:t>
      </w:r>
    </w:p>
    <w:p w14:paraId="3C010000">
      <w:pPr>
        <w:widowControl w:val="0"/>
        <w:ind w:firstLine="709" w:left="0"/>
        <w:jc w:val="both"/>
      </w:pPr>
      <w:r>
        <w:t>В целях решения первоочередных задач бюджетной политики Ростовской области продолжится применение механизмов эффективного расходования бюджетных средств, оптимизации и переформатирования расходов областного бюджета.</w:t>
      </w:r>
    </w:p>
    <w:p w14:paraId="3D010000">
      <w:pPr>
        <w:ind w:firstLine="709" w:left="0"/>
        <w:jc w:val="both"/>
      </w:pPr>
      <w:r>
        <w:t xml:space="preserve">Формирование расходов областного бюджета на 2025-2027 годы осуществлялось на основе Методики и порядка планирования бюджетных ассигнований областного бюджета. </w:t>
      </w:r>
    </w:p>
    <w:p w14:paraId="3E010000">
      <w:pPr>
        <w:ind w:firstLine="709" w:left="0"/>
        <w:jc w:val="both"/>
      </w:pPr>
      <w:r>
        <w:t>Показатели расходов областного бюджета на 2025-2027 годы сформированы с учетом следующих особенностей.</w:t>
      </w:r>
    </w:p>
    <w:p w14:paraId="3F010000">
      <w:pPr>
        <w:ind w:firstLine="709" w:left="0"/>
        <w:jc w:val="both"/>
      </w:pPr>
      <w:r>
        <w:t>Исходными данными для расчета расходов на 2025 и 2026 годы приняты бюджетные ассигнования, утвержденные Областным законом от 14.12.2023    № 58-ЗС «Об областном бюджете на 2024 год и на плановый период 2025 и 2026 годов», для расходов на 2027 год – бюджетные ассигнования 2026 года, установленные этим законом.</w:t>
      </w:r>
    </w:p>
    <w:p w14:paraId="40010000">
      <w:pPr>
        <w:widowControl w:val="0"/>
        <w:ind w:firstLine="709" w:left="0"/>
        <w:jc w:val="both"/>
      </w:pPr>
      <w:r>
        <w:t xml:space="preserve">Создание резерва в объеме 15,5 млрд рублей направлено на обеспечение приоритетных и непредвиденных расходов областного бюджета, включая средства на </w:t>
      </w:r>
      <w:r>
        <w:t>осуществление в полном объеме выплат по оплате труда с начислениями, взносов на обязательное медицинское страхование неработающего населения,</w:t>
      </w:r>
      <w:r>
        <w:t xml:space="preserve"> обеспечение мероприятий</w:t>
      </w:r>
      <w:r>
        <w:rPr>
          <w:b w:val="1"/>
        </w:rPr>
        <w:t xml:space="preserve">, </w:t>
      </w:r>
      <w:r>
        <w:t xml:space="preserve">связанных с проведением специальной военной операции. </w:t>
      </w:r>
    </w:p>
    <w:p w14:paraId="41010000">
      <w:pPr>
        <w:ind w:firstLine="709" w:left="0"/>
        <w:jc w:val="both"/>
      </w:pPr>
      <w:r>
        <w:t>Уточнены расходы в связи с изменением численности (контингента) получателей государственных услуг, социальных выплат и пособий.</w:t>
      </w:r>
    </w:p>
    <w:p w14:paraId="42010000">
      <w:pPr>
        <w:ind w:firstLine="709" w:left="0"/>
        <w:jc w:val="both"/>
      </w:pPr>
      <w:r>
        <w:t>Проиндексированы социальные выплаты населению (публичные нормативные обязательства) и стипендиального фонда исходя из уровня инфляции согласно прогнозу социально-экономического развития Ростовской области  на  2025-2027 годы с 1 января и с 1 сентября соответственно – на 4,0 процента ежегодно.</w:t>
      </w:r>
    </w:p>
    <w:p w14:paraId="43010000">
      <w:pPr>
        <w:ind w:firstLine="709" w:left="0"/>
        <w:jc w:val="both"/>
      </w:pPr>
      <w:r>
        <w:t>На обеспечение устойчивого роста оплаты труда работников на следующую трехлетку будут направлен спектр мер.</w:t>
      </w:r>
    </w:p>
    <w:p w14:paraId="44010000">
      <w:pPr>
        <w:ind w:firstLine="709" w:left="0"/>
        <w:jc w:val="both"/>
      </w:pPr>
      <w:r>
        <w:t xml:space="preserve">В целях реализации </w:t>
      </w:r>
      <w:r>
        <w:t>Федерального закона от 19.06.2000 № 82-ФЗ «О минимальном размере оплаты труда»</w:t>
      </w:r>
      <w:r>
        <w:t>, согласно которому соотношение минимального размера оплаты труда и медианной заработной платы устанавливаются в размере не ниже 48 процентов, а также перечня поручений №Пр-616 Правительству Российской Федерации, предусматривающего рост минимального размера оплаты труда до 35 000 рублей к 2030 году, увеличены расходы на заработную плату отдельных низкооплачиваемых категорий</w:t>
      </w:r>
      <w:r>
        <w:t xml:space="preserve"> работников в связи с её доведением до минимального </w:t>
      </w:r>
      <w:r>
        <w:t>размера оплаты труда</w:t>
      </w:r>
      <w:r>
        <w:t xml:space="preserve"> с 1 января 2025 года – 22 440 рублей.</w:t>
      </w:r>
    </w:p>
    <w:p w14:paraId="45010000">
      <w:pPr>
        <w:tabs>
          <w:tab w:leader="none" w:pos="709" w:val="left"/>
        </w:tabs>
        <w:ind w:firstLine="709" w:left="0"/>
        <w:jc w:val="both"/>
      </w:pPr>
      <w:r>
        <w:t>Уточнены расходы на оплату труда для отдельных категорий работников, установленных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(далее – указы Президента</w:t>
      </w:r>
      <w:r>
        <w:t xml:space="preserve"> </w:t>
      </w:r>
      <w:r>
        <w:t>Российской Федерации 2012 года), в связи с необходимостью сохранения соотношения средней заработной платы по этим категориям с показателем «среднемесячный доход от трудовой деятельности» по Ростовской области (в 2025 году – 48 944,2 рублей, в 2026 году – 52 370,3 рублей, в 2027 году – 55 826,7 рублей).</w:t>
      </w:r>
    </w:p>
    <w:p w14:paraId="46010000">
      <w:pPr>
        <w:tabs>
          <w:tab w:leader="none" w:pos="709" w:val="left"/>
        </w:tabs>
        <w:ind w:firstLine="709" w:left="0"/>
        <w:jc w:val="both"/>
      </w:pPr>
      <w:r>
        <w:t>Ежегодное повышение оплаты труда категорий работников государственных учреждений Ростовской области и муниципальных учреждений (в части субвенций и субсидий областного бюджета), на которые не распространяется действие указов Президента Российской Федерации 2012 года, работников органов государственной власти Ростовской области и местного самоуправления (в части субвенций и субсидий областного бюджета) предусмотрена индексация расходов на прогнозный уровень инфляции с</w:t>
      </w:r>
      <w:r>
        <w:t> </w:t>
      </w:r>
      <w:r>
        <w:t>1 октября на 4,0 процента</w:t>
      </w:r>
      <w:r>
        <w:t xml:space="preserve"> ежегодно.</w:t>
      </w:r>
    </w:p>
    <w:p w14:paraId="47010000">
      <w:pPr>
        <w:ind w:firstLine="708" w:left="0"/>
        <w:jc w:val="both"/>
      </w:pPr>
      <w:r>
        <w:t>В случае уточнения уровня инфляции на 2025 год в прогнозе социально-экономического развития Ростовской области на 2025-2027 годы дополнительные расходы будут учтены при подготовке проекта закона об областном бюджете ко второму чтению.</w:t>
      </w:r>
    </w:p>
    <w:p w14:paraId="48010000">
      <w:pPr>
        <w:widowControl w:val="0"/>
        <w:ind w:firstLine="709" w:left="0"/>
        <w:jc w:val="both"/>
      </w:pPr>
      <w:r>
        <w:t xml:space="preserve">Инвестиционная составляющая бюджетной политики будет направлена на завершение работ по переходящим объектам строительства, реконструкции, капитального ремонта государственной и муниципальной собственности с учетом разработки проектной документации и проектно-изыскательских работ, утвержденным в бюджетном цикле на 2024 – 2026 годы. </w:t>
      </w:r>
    </w:p>
    <w:p w14:paraId="49010000">
      <w:pPr>
        <w:ind w:firstLine="709" w:left="0"/>
        <w:jc w:val="both"/>
      </w:pPr>
      <w:r>
        <w:t>Расходы на новые объекты на 2025-2027 годы включены исходя из</w:t>
      </w:r>
      <w:r>
        <w:t> </w:t>
      </w:r>
      <w:r>
        <w:t xml:space="preserve">необходимости реализации региональных проектов в рамках исполнения Указа Президента Российской Федерации от 07.05.2024 № 309, а также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14:paraId="4A010000">
      <w:pPr>
        <w:ind w:firstLine="709" w:left="0"/>
        <w:jc w:val="both"/>
      </w:pPr>
      <w:r>
        <w:t>В целях повышения качества предоставления услуг в отраслях социальной сферы в рамках финансового обеспечения учреждений в условиях удорожания цен проиндексированы затраты на приобретение материальных запасов (питания, медикаментов, перевязочных средств, медицинских расходных материалов и изделий медицинского назначения, медицинского инструментария, мягкого инвентаря), на приобретение средств обучения и воспитания,  исходя из уровня инфляции на 2025-2027 годы с 1 января на 4,0 процента ежегодно.</w:t>
      </w:r>
    </w:p>
    <w:p w14:paraId="4B010000">
      <w:pPr>
        <w:tabs>
          <w:tab w:leader="none" w:pos="709" w:val="left"/>
        </w:tabs>
        <w:ind w:firstLine="709" w:left="0"/>
        <w:jc w:val="both"/>
      </w:pPr>
      <w:r>
        <w:t>В соответствии с Областным законом от 03.08.2007 № 743-ЗС «О бюджетном процессе в Ростовской области» проект областного бюджета составлен на основе государственных программ Ростовской области.</w:t>
      </w:r>
    </w:p>
    <w:p w14:paraId="4C010000">
      <w:pPr>
        <w:ind w:firstLine="709" w:left="0"/>
        <w:jc w:val="both"/>
      </w:pPr>
      <w:r>
        <w:t>Структура государственных программ определена посредством четкого разграничения расходов на проектную деятельность, направленную на конкретный уникальный результат (региональные проекты), и процессную деятельность, направленную на решение текущих задач социально-экономического развития (в рамках комплексов процессных мероприятий).</w:t>
      </w:r>
    </w:p>
    <w:p w14:paraId="4D010000">
      <w:pPr>
        <w:ind w:firstLine="709" w:left="0"/>
        <w:jc w:val="both"/>
      </w:pPr>
      <w:r>
        <w:t xml:space="preserve">Для каждой государственной программы, а также её отдельных элементов сформирован перечень общественно значимых показателей, увязанных с национальными целями развития. </w:t>
      </w:r>
    </w:p>
    <w:p w14:paraId="4E010000">
      <w:pPr>
        <w:ind w:firstLine="709" w:left="0"/>
        <w:jc w:val="both"/>
      </w:pPr>
      <w:r>
        <w:t>В предстоящей трехлетке продолжится работа по повышению качества и эффективности реализации государственных программ Ростовской области, сформированных</w:t>
      </w:r>
      <w:r>
        <w:rPr>
          <w:rFonts w:ascii="Arial" w:hAnsi="Arial"/>
          <w:sz w:val="18"/>
        </w:rPr>
        <w:t xml:space="preserve"> </w:t>
      </w:r>
      <w:r>
        <w:t>на проектных принципах управления, по аналогии с национальными проектами.</w:t>
      </w:r>
    </w:p>
    <w:p w14:paraId="4F010000">
      <w:pPr>
        <w:ind w:firstLine="709" w:left="0"/>
        <w:jc w:val="both"/>
      </w:pPr>
      <w:r>
        <w:t xml:space="preserve">Всего на реализацию 23 государственных программ Ростовской области в 2025-2027 годах предусмотрено 827 505,1 млн рублей, из них в 2025 году – 303 839,0 млн рублей или 91,4 процента от всех расходов областного бюджета. </w:t>
      </w:r>
    </w:p>
    <w:p w14:paraId="50010000">
      <w:pPr>
        <w:ind w:firstLine="709" w:left="0"/>
        <w:jc w:val="both"/>
      </w:pPr>
      <w:r>
        <w:t>Приоритетное место в бюджете, по-прежнему, занимают «социальные» государственные программы. Также государственные программы направлены на развитие агропромышленного комплекса, коммунальной и транспортной инфраструктуры, экономики региона, поддержку малого и среднего бизнеса, обеспечение жильем отдельных категорий граждан и другие направления.</w:t>
      </w:r>
    </w:p>
    <w:p w14:paraId="51010000">
      <w:pPr>
        <w:tabs>
          <w:tab w:leader="none" w:pos="7265" w:val="left"/>
        </w:tabs>
        <w:ind w:firstLine="709" w:left="0"/>
        <w:jc w:val="both"/>
      </w:pPr>
      <w:r>
        <w:t>На реализацию 10-ти государственных программ социальной направленности в проекте областного бюджета на 2025-2027 годы предусмотрено 637 207,1 млн рублей, из них в 2025 году – 224 271,5 млн рублей или 73,8 процента от всех ассигнований на реализацию государственных программ Ростовской области.</w:t>
      </w:r>
    </w:p>
    <w:p w14:paraId="52010000">
      <w:pPr>
        <w:tabs>
          <w:tab w:leader="none" w:pos="7265" w:val="left"/>
        </w:tabs>
        <w:ind w:firstLine="709" w:left="0"/>
        <w:jc w:val="both"/>
      </w:pPr>
      <w:r>
        <w:t>В основном это государственные программы, направленные на развитие образования, здравоохранения, культуры и спорта, социальную поддержку и социальное обслуживание населения области, поддержку молодежи, обеспечение жильем льготных категорий граждан и их семей.</w:t>
      </w:r>
    </w:p>
    <w:p w14:paraId="53010000">
      <w:pPr>
        <w:tabs>
          <w:tab w:leader="none" w:pos="7265" w:val="left"/>
        </w:tabs>
        <w:ind w:firstLine="709" w:left="0"/>
        <w:jc w:val="both"/>
      </w:pPr>
      <w:r>
        <w:t>На реализацию 10-ти государственных программ, направленных на  развитие инфраструктуры и обеспечение условий жизнедеятельности, в проекте областного бюджета на 2025-2027 годы предусмотрено 123 523,6 млн рублей, из них в 2025 году – 54 998,7  млн рублей или 18,1 процента от всех ассигнований на реализацию государственных программ Ростовской области.</w:t>
      </w:r>
    </w:p>
    <w:p w14:paraId="54010000">
      <w:pPr>
        <w:tabs>
          <w:tab w:leader="none" w:pos="7265" w:val="left"/>
        </w:tabs>
        <w:ind w:firstLine="709" w:left="0"/>
        <w:jc w:val="both"/>
      </w:pPr>
      <w:r>
        <w:t>На реализацию 3-х государственных программ, направленных на  обеспечение высоких темпов экономического роста, в проекте областного бюджета на 2025-2027 годы предусмотрено 66 774,4 млн рублей, из них в 2025 году – 24 568,8 млн рублей или 8,1 процента от всех ассигнований на реализацию государственных программ Ростовской области.</w:t>
      </w:r>
    </w:p>
    <w:p w14:paraId="55010000">
      <w:pPr>
        <w:widowControl w:val="0"/>
        <w:ind w:firstLine="709" w:left="0"/>
        <w:jc w:val="both"/>
      </w:pPr>
      <w:r>
        <w:t>Важным инструментом достижения целей государственных программ будут являться региональные проекты, направленные на реализацию национальных целей развития в соответствии с Указом Президента Российской Федерации от 07.05.2024 № 309, а также иные региональные проекты, направленные на достижение целей социально-экономического развития Ростовской области.</w:t>
      </w:r>
    </w:p>
    <w:p w14:paraId="56010000">
      <w:pPr>
        <w:spacing w:line="228" w:lineRule="auto"/>
        <w:ind w:firstLine="709" w:left="0"/>
        <w:jc w:val="center"/>
        <w:rPr>
          <w:b w:val="1"/>
        </w:rPr>
      </w:pPr>
    </w:p>
    <w:p w14:paraId="57010000">
      <w:pPr>
        <w:spacing w:line="228" w:lineRule="auto"/>
        <w:ind w:firstLine="709" w:left="0"/>
        <w:jc w:val="center"/>
        <w:rPr>
          <w:b w:val="1"/>
        </w:rPr>
      </w:pPr>
      <w:r>
        <w:rPr>
          <w:b w:val="1"/>
        </w:rPr>
        <w:t xml:space="preserve">Расходы областного бюджета на финансовое обеспечение </w:t>
      </w:r>
    </w:p>
    <w:p w14:paraId="58010000">
      <w:pPr>
        <w:spacing w:line="228" w:lineRule="auto"/>
        <w:ind w:firstLine="709" w:left="0"/>
        <w:jc w:val="center"/>
        <w:rPr>
          <w:b w:val="1"/>
        </w:rPr>
      </w:pPr>
      <w:r>
        <w:rPr>
          <w:b w:val="1"/>
        </w:rPr>
        <w:t>реализации региональных проектов</w:t>
      </w:r>
    </w:p>
    <w:p w14:paraId="59010000">
      <w:pPr>
        <w:spacing w:line="228" w:lineRule="auto"/>
        <w:ind w:firstLine="709" w:left="0"/>
        <w:jc w:val="center"/>
        <w:rPr>
          <w:b w:val="1"/>
        </w:rPr>
      </w:pPr>
    </w:p>
    <w:p w14:paraId="5A010000">
      <w:pPr>
        <w:widowControl w:val="0"/>
        <w:spacing w:line="228" w:lineRule="auto"/>
        <w:ind w:firstLine="709" w:left="0"/>
        <w:jc w:val="both"/>
      </w:pPr>
      <w:r>
        <w:t xml:space="preserve">На федеральном уровне разработан портфель новых национальных проектов, и как следствие, федеральных и региональных проектов. </w:t>
      </w:r>
    </w:p>
    <w:p w14:paraId="5B010000">
      <w:pPr>
        <w:widowControl w:val="0"/>
        <w:spacing w:line="228" w:lineRule="auto"/>
        <w:ind w:firstLine="709" w:left="0"/>
        <w:jc w:val="both"/>
      </w:pPr>
      <w:r>
        <w:t>Реализация новых региональных проектов ориентирована на поддержку семьи, молодежи и детей, обеспечение продолжительной и активной жизни граждан, развитие кадрового потенциала, формирование экологического благополучия, развитие эффективной транспортной системы, эффективной и конкурентной экономики, туризма и гостеприимства, международной кооперации и экспорта, а также переход к экономике данных и цифровой трансформации государства.</w:t>
      </w:r>
    </w:p>
    <w:p w14:paraId="5C010000">
      <w:pPr>
        <w:widowControl w:val="0"/>
        <w:spacing w:line="228" w:lineRule="auto"/>
        <w:ind w:firstLine="709" w:left="0"/>
        <w:jc w:val="both"/>
      </w:pPr>
      <w:r>
        <w:t xml:space="preserve">В 2025 году в Ростовской области финансовое обеспечение проектной части государственных программ предусматривается по 44 региональным проектам, в том числе по </w:t>
      </w:r>
      <w:r>
        <w:rPr>
          <w:rStyle w:val="Style_3_ch"/>
        </w:rPr>
        <w:t>20</w:t>
      </w:r>
      <w:r>
        <w:t xml:space="preserve"> региональным проектам, направленным на реализацию национальных целей развития, и по </w:t>
      </w:r>
      <w:r>
        <w:rPr>
          <w:rStyle w:val="Style_3_ch"/>
        </w:rPr>
        <w:t>24</w:t>
      </w:r>
      <w:r>
        <w:t xml:space="preserve"> иным региональным проектам, направленным на социально-экономическое развитие Ростовской области.</w:t>
      </w:r>
    </w:p>
    <w:p w14:paraId="5D010000">
      <w:pPr>
        <w:widowControl w:val="0"/>
        <w:spacing w:line="228" w:lineRule="auto"/>
        <w:ind w:firstLine="709" w:left="0"/>
        <w:jc w:val="both"/>
      </w:pPr>
      <w:r>
        <w:t xml:space="preserve">Бюджетные ассигнования на финансовое обеспечение реализации всех региональных проектов в законопроекте на 2025-2027 годы предусмотрены в объеме 127 147,0 млн рублей, из них в 2025 году – 71 219,3 млн рублей без учета целевых средств федерального бюджета. </w:t>
      </w:r>
    </w:p>
    <w:p w14:paraId="5E010000">
      <w:pPr>
        <w:widowControl w:val="0"/>
        <w:spacing w:line="228" w:lineRule="auto"/>
        <w:ind w:firstLine="709" w:left="0"/>
        <w:jc w:val="both"/>
      </w:pPr>
      <w:r>
        <w:t xml:space="preserve">На реализацию национальных проектов на 2025-2027 годы предусмотрено 43 169,0 млн рублей, из них в 2025 году – 25 469,2 млн рублей или 35,8 процента от всех ассигнований на реализацию расходов на проектную деятельность. </w:t>
      </w:r>
    </w:p>
    <w:p w14:paraId="5F010000">
      <w:pPr>
        <w:widowControl w:val="0"/>
        <w:spacing w:line="228" w:lineRule="auto"/>
        <w:ind w:firstLine="709" w:left="0"/>
        <w:jc w:val="both"/>
      </w:pPr>
      <w:r>
        <w:t xml:space="preserve">На развитие человеческого капитала на предстоящую трехлетку предусмотрено 10 685,2 млн рублей, из них в 2025 году – 6 537,7 млн рублей. </w:t>
      </w:r>
    </w:p>
    <w:p w14:paraId="60010000">
      <w:pPr>
        <w:widowControl w:val="0"/>
        <w:spacing w:line="228" w:lineRule="auto"/>
        <w:ind w:firstLine="709" w:left="0"/>
        <w:jc w:val="both"/>
      </w:pPr>
      <w:r>
        <w:t xml:space="preserve">На реализацию проектов, направленных на развитие комфортной среды для жизни, на предстоящую трехлетку предусмотрено 31 133,1 млн рублей, из них в 2025 году – 18 481,7 млн рублей. </w:t>
      </w:r>
    </w:p>
    <w:p w14:paraId="61010000">
      <w:pPr>
        <w:widowControl w:val="0"/>
        <w:spacing w:line="228" w:lineRule="auto"/>
        <w:ind w:firstLine="709" w:left="0"/>
        <w:jc w:val="both"/>
      </w:pPr>
      <w:r>
        <w:t xml:space="preserve">На исполнение проектов, направленных на достижение экономического роста, на предстоящую трехлетку предусмотрено 1 350,6 млн рублей, из них в 2025 году – 449,8 млн рублей. </w:t>
      </w:r>
    </w:p>
    <w:p w14:paraId="62010000">
      <w:pPr>
        <w:widowControl w:val="0"/>
        <w:spacing w:line="228" w:lineRule="auto"/>
        <w:ind w:firstLine="709" w:left="0"/>
        <w:jc w:val="both"/>
      </w:pPr>
      <w:r>
        <w:t xml:space="preserve">К наиболее </w:t>
      </w:r>
      <w:r>
        <w:t>бюджетоёмким</w:t>
      </w:r>
      <w:r>
        <w:t xml:space="preserve"> проектам, на реализацию которых предусмотрено более 90 процентов общего объема расходов на все региональные проекты, относятся «Инфраструктура для жизни», «Продолжительная и активная жизнь» и «Семья».</w:t>
      </w:r>
    </w:p>
    <w:p w14:paraId="63010000">
      <w:pPr>
        <w:widowControl w:val="0"/>
        <w:spacing w:line="228" w:lineRule="auto"/>
        <w:ind w:firstLine="709" w:left="0"/>
        <w:jc w:val="both"/>
      </w:pPr>
      <w:r>
        <w:t xml:space="preserve">Реализация иных региональных проектов ориентирована на укрепление материально-технической базы учреждений здравоохранения, строительство и реконструкцию объектов социального обслуживания населения, совершенствование системы комплексной реабилитации и </w:t>
      </w:r>
      <w:r>
        <w:t>абилитации</w:t>
      </w:r>
      <w:r>
        <w:t xml:space="preserve"> инвалидов, поддержку пострадавших участников долевого строительства, развитие коммунальной инфраструктуры, а также обеспечение пожарной безопасности, безопасности на водных объектах и защиту от чрезвычайных ситуаций.</w:t>
      </w:r>
    </w:p>
    <w:p w14:paraId="64010000">
      <w:pPr>
        <w:widowControl w:val="0"/>
        <w:spacing w:line="228" w:lineRule="auto"/>
        <w:ind w:firstLine="709" w:left="0"/>
        <w:jc w:val="both"/>
      </w:pPr>
      <w:r>
        <w:t>Бюджетные ассигнования на финансовое обеспечение реализации иных региональных проектов, направленных на социально-экономическое развитие Ростовской области, на 2025-2027 годы предусмотрены в объеме 83 978,0 млн рублей, из них в 2025 году – 45 750,1 млн рублей или 64,2 процента от всех ассигнований на реализацию расходов на проектную деятельность.</w:t>
      </w:r>
    </w:p>
    <w:p w14:paraId="65010000">
      <w:pPr>
        <w:widowControl w:val="0"/>
        <w:spacing w:line="228" w:lineRule="auto"/>
        <w:ind w:firstLine="709" w:left="0"/>
        <w:jc w:val="both"/>
      </w:pPr>
      <w:r>
        <w:t>Независимо от внешних вызовов и угроз, достижение национальных целей развития страны и социально-экономического развития региона остается ключевой задачей бюджетной политики, для решения которой в приоритетном порядке будут предусмотрены бюджетные ассигнования на реализацию региональных проектов.</w:t>
      </w:r>
    </w:p>
    <w:p w14:paraId="66010000">
      <w:pPr>
        <w:ind w:firstLine="709" w:left="0"/>
        <w:jc w:val="center"/>
        <w:rPr>
          <w:b w:val="1"/>
        </w:rPr>
      </w:pPr>
    </w:p>
    <w:p w14:paraId="67010000">
      <w:pPr>
        <w:ind w:firstLine="709" w:left="0"/>
        <w:jc w:val="center"/>
        <w:outlineLvl w:val="0"/>
        <w:rPr>
          <w:b w:val="1"/>
        </w:rPr>
      </w:pPr>
      <w:r>
        <w:rPr>
          <w:b w:val="1"/>
        </w:rPr>
        <w:t xml:space="preserve">Расходы областного бюджета по разделам классификации расходов </w:t>
      </w:r>
    </w:p>
    <w:p w14:paraId="68010000">
      <w:pPr>
        <w:ind w:firstLine="709" w:left="0"/>
        <w:jc w:val="center"/>
        <w:outlineLvl w:val="0"/>
        <w:rPr>
          <w:b w:val="1"/>
        </w:rPr>
      </w:pPr>
      <w:r>
        <w:rPr>
          <w:b w:val="1"/>
        </w:rPr>
        <w:t>на 2025 год и на плановый период 2026 и 2027 годов</w:t>
      </w:r>
    </w:p>
    <w:p w14:paraId="69010000">
      <w:pPr>
        <w:ind w:firstLine="709" w:left="0"/>
        <w:jc w:val="center"/>
        <w:outlineLvl w:val="0"/>
        <w:rPr>
          <w:b w:val="1"/>
        </w:rPr>
      </w:pPr>
    </w:p>
    <w:p w14:paraId="6A010000">
      <w:pPr>
        <w:ind w:firstLine="709" w:left="0"/>
        <w:jc w:val="both"/>
      </w:pPr>
      <w:r>
        <w:t>На 2025 год объем расходов предлагается в сумме 332</w:t>
      </w:r>
      <w:r>
        <w:t> </w:t>
      </w:r>
      <w:r>
        <w:t xml:space="preserve">555,4 млн рублей, </w:t>
      </w:r>
      <w:r>
        <w:br/>
      </w:r>
      <w:r>
        <w:t>на 2026 год – 335</w:t>
      </w:r>
      <w:r>
        <w:t> </w:t>
      </w:r>
      <w:r>
        <w:t>793,0 млн рублей, на 2027 год – 319 791,</w:t>
      </w:r>
      <w:r>
        <w:t>4</w:t>
      </w:r>
      <w:r>
        <w:t xml:space="preserve"> млн рублей.</w:t>
      </w:r>
    </w:p>
    <w:p w14:paraId="6B010000">
      <w:pPr>
        <w:ind/>
        <w:jc w:val="center"/>
        <w:outlineLvl w:val="0"/>
        <w:rPr>
          <w:b w:val="1"/>
        </w:rPr>
      </w:pPr>
    </w:p>
    <w:p w14:paraId="6C010000">
      <w:pPr>
        <w:spacing w:line="228" w:lineRule="auto"/>
        <w:ind/>
        <w:jc w:val="center"/>
        <w:outlineLvl w:val="0"/>
        <w:rPr>
          <w:b w:val="1"/>
        </w:rPr>
      </w:pPr>
      <w:r>
        <w:rPr>
          <w:b w:val="1"/>
        </w:rPr>
        <w:t>РАЗДЕЛ</w:t>
      </w:r>
    </w:p>
    <w:p w14:paraId="6D010000">
      <w:pPr>
        <w:spacing w:line="228" w:lineRule="auto"/>
        <w:ind/>
        <w:jc w:val="center"/>
        <w:outlineLvl w:val="0"/>
        <w:rPr>
          <w:b w:val="1"/>
        </w:rPr>
      </w:pPr>
      <w:r>
        <w:rPr>
          <w:b w:val="1"/>
        </w:rPr>
        <w:t>«ОБЩЕГОСУДАРСТВЕННЫЕ ВОПРОСЫ»</w:t>
      </w:r>
    </w:p>
    <w:p w14:paraId="6E010000">
      <w:pPr>
        <w:spacing w:line="228" w:lineRule="auto"/>
        <w:ind/>
        <w:jc w:val="center"/>
        <w:outlineLvl w:val="0"/>
        <w:rPr>
          <w:b w:val="1"/>
        </w:rPr>
      </w:pPr>
    </w:p>
    <w:p w14:paraId="6F010000">
      <w:pPr>
        <w:spacing w:line="228" w:lineRule="auto"/>
        <w:ind w:firstLine="709" w:left="0"/>
        <w:jc w:val="both"/>
        <w:outlineLvl w:val="0"/>
      </w:pPr>
      <w:r>
        <w:t>В проекте областного бюджета по разделу «Общегосударственные вопросы» в 2025 году предусмотрены бюджетные ассигнования в сумме 27 699,4 млн рублей, в 2026 году – 67 755,9 млн рублей и в 2027 году – 63 541,6 млн рублей.</w:t>
      </w:r>
    </w:p>
    <w:p w14:paraId="70010000">
      <w:pPr>
        <w:spacing w:line="228" w:lineRule="auto"/>
        <w:ind w:firstLine="709" w:left="0"/>
        <w:jc w:val="both"/>
        <w:outlineLvl w:val="0"/>
      </w:pPr>
      <w:r>
        <w:t xml:space="preserve">Систему органов государственной власти Ростовской области составляют 37 органов, 5 из которых являются государственными органами и 32 исполнительных органа. </w:t>
      </w:r>
    </w:p>
    <w:p w14:paraId="71010000">
      <w:pPr>
        <w:widowControl w:val="0"/>
        <w:spacing w:line="228" w:lineRule="auto"/>
        <w:ind w:firstLine="708" w:left="0"/>
        <w:jc w:val="both"/>
      </w:pPr>
      <w:r>
        <w:t xml:space="preserve">Расходы на содержание аппарата управления отражены по 10 из 14 разделов бюджетной классификации расходов. </w:t>
      </w:r>
    </w:p>
    <w:p w14:paraId="72010000">
      <w:pPr>
        <w:widowControl w:val="0"/>
        <w:spacing w:line="228" w:lineRule="auto"/>
        <w:ind w:firstLine="708" w:left="0"/>
        <w:jc w:val="both"/>
      </w:pPr>
      <w:r>
        <w:t xml:space="preserve">При расчете данных расходов учтены средства на оплату труда лиц, замещающих государственные должности Ростовской области, государственных гражданских служащих Ростовской области и работников, занимающих должности, не отнесенные к должностям государственной гражданской службы Ростовской области, и осуществляющих техническое обеспечение деятельности </w:t>
      </w:r>
      <w:r>
        <w:t xml:space="preserve">органов </w:t>
      </w:r>
      <w:r>
        <w:t>госвласти</w:t>
      </w:r>
      <w:r>
        <w:t xml:space="preserve">, а также обслуживающего персонала, обеспечение государственных гарантий государственных гражданских служащих и материально-техническое обеспечение деятельности аппарата управления. </w:t>
      </w:r>
    </w:p>
    <w:p w14:paraId="73010000">
      <w:pPr>
        <w:spacing w:line="228" w:lineRule="auto"/>
        <w:ind w:firstLine="708" w:left="0"/>
        <w:jc w:val="both"/>
      </w:pPr>
      <w:r>
        <w:t xml:space="preserve">Численность работников аппарата управления  органов </w:t>
      </w:r>
      <w:r>
        <w:t>госвласти</w:t>
      </w:r>
      <w:r>
        <w:t xml:space="preserve"> при расчете установлена в количестве 4 454 единиц, в том числе государственных гражданских служащих и лиц, замещающих государственные должности, в количестве 4 200 единиц, обслуживающего и технического персонала</w:t>
      </w:r>
      <w:r>
        <w:t xml:space="preserve"> в количестве 254 единиц.</w:t>
      </w:r>
    </w:p>
    <w:p w14:paraId="74010000">
      <w:pPr>
        <w:spacing w:line="228" w:lineRule="auto"/>
        <w:ind w:firstLine="709" w:left="0"/>
        <w:jc w:val="both"/>
        <w:rPr>
          <w:spacing w:val="-1"/>
        </w:rPr>
      </w:pPr>
      <w:r>
        <w:rPr>
          <w:spacing w:val="-1"/>
        </w:rPr>
        <w:t xml:space="preserve">В числе основных направлений расходов областного бюджета по разделу </w:t>
      </w:r>
      <w:r>
        <w:t xml:space="preserve">«Общегосударственные вопросы» </w:t>
      </w:r>
      <w:r>
        <w:rPr>
          <w:spacing w:val="-1"/>
        </w:rPr>
        <w:t xml:space="preserve">предусмотрены средства </w:t>
      </w:r>
      <w:r>
        <w:rPr>
          <w:spacing w:val="-1"/>
        </w:rPr>
        <w:t>на</w:t>
      </w:r>
      <w:r>
        <w:rPr>
          <w:spacing w:val="-1"/>
        </w:rPr>
        <w:t>:</w:t>
      </w:r>
    </w:p>
    <w:p w14:paraId="75010000">
      <w:pPr>
        <w:spacing w:line="228" w:lineRule="auto"/>
        <w:ind w:firstLine="709" w:left="0"/>
        <w:jc w:val="both"/>
        <w:rPr>
          <w:spacing w:val="-1"/>
        </w:rPr>
      </w:pPr>
      <w:r>
        <w:rPr>
          <w:spacing w:val="-1"/>
        </w:rPr>
        <w:t xml:space="preserve">финансовое обеспечение </w:t>
      </w:r>
      <w:r>
        <w:rPr>
          <w:spacing w:val="-1"/>
        </w:rPr>
        <w:t>деятельности аппаратов соответствующих органов государственной власти Ростовской области</w:t>
      </w:r>
      <w:r>
        <w:rPr>
          <w:spacing w:val="-1"/>
        </w:rPr>
        <w:t xml:space="preserve"> в 2025 году в сумме 3 336,7 млн рублей, в 2026 году – 3 452,7 млн рублей,  в 2027 году – 3 581,2 млн рублей;</w:t>
      </w:r>
    </w:p>
    <w:p w14:paraId="76010000">
      <w:pPr>
        <w:spacing w:line="228" w:lineRule="auto"/>
        <w:ind w:firstLine="709" w:left="0"/>
        <w:jc w:val="both"/>
      </w:pPr>
      <w:r>
        <w:t>финансовое обеспечение деятельности департамента по обеспечению деятельности мировых судей Ростовской области в 2025 году в сумме 409,0 млн рублей, в 2026 году – 421,7 млн рублей, в 2027 году – 438,9 млн рублей;</w:t>
      </w:r>
    </w:p>
    <w:p w14:paraId="77010000">
      <w:pPr>
        <w:spacing w:line="228" w:lineRule="auto"/>
        <w:ind w:firstLine="709" w:left="0"/>
        <w:jc w:val="both"/>
        <w:rPr>
          <w:i w:val="1"/>
        </w:rPr>
      </w:pPr>
      <w:r>
        <w:t xml:space="preserve">обеспечение </w:t>
      </w:r>
      <w:r>
        <w:t>деятельности управления записи актов гражданского состояния Ростовской области</w:t>
      </w:r>
      <w:r>
        <w:t xml:space="preserve"> за счет средств федерального бюджета в 2025 году в сумме 33,9 млн рублей, в 2026 году – 34,0 млн рублей;</w:t>
      </w:r>
    </w:p>
    <w:p w14:paraId="78010000">
      <w:pPr>
        <w:spacing w:line="228" w:lineRule="auto"/>
        <w:ind w:firstLine="709" w:left="0"/>
        <w:jc w:val="both"/>
        <w:rPr>
          <w:spacing w:val="-1"/>
        </w:rPr>
      </w:pPr>
      <w:r>
        <w:rPr>
          <w:spacing w:val="-1"/>
        </w:rPr>
        <w:t>обеспечение дополнительных гарантий гражданским служащим в части выплаты единовременного пособия за полные годы стажа гражданской службы уволенным пенсионерам в соответствии с Областным законом от 26.07.2005 № 344-ЗС «О государственной гражданской службе Ростовской области» и ежегодной компенсации на лечение отдельным категориям граждан, замещавших государственные должности Ростовской области или должности государственной гражданской службы Ростовской области, в 2025 году в сумме 103,2 млн рублей</w:t>
      </w:r>
      <w:r>
        <w:rPr>
          <w:spacing w:val="-1"/>
        </w:rPr>
        <w:t>, в 2026 году – 16,4 млн рублей, в 2027 году – 16,7 млн рублей;</w:t>
      </w:r>
    </w:p>
    <w:p w14:paraId="79010000">
      <w:pPr>
        <w:spacing w:line="228" w:lineRule="auto"/>
        <w:ind w:firstLine="709" w:left="0"/>
        <w:jc w:val="both"/>
        <w:rPr>
          <w:spacing w:val="-1"/>
        </w:rPr>
      </w:pPr>
      <w:r>
        <w:rPr>
          <w:spacing w:val="-1"/>
        </w:rPr>
        <w:t xml:space="preserve">финансовое обеспечение подведомственных государственных казенных учреждений Ростовской области </w:t>
      </w:r>
      <w:r>
        <w:t>«Центр безопасности дорожного движения», «Служба эксплуатации административных зданий Правительства Ростовской области</w:t>
      </w:r>
      <w:r>
        <w:rPr>
          <w:b w:val="1"/>
          <w:i w:val="1"/>
        </w:rPr>
        <w:t>»</w:t>
      </w:r>
      <w:r>
        <w:t xml:space="preserve">, «Фонд имущества Ростовской области», «Аппарат Общественной палаты Ростовской области», «Служба обеспечения деятельности судебных участков мировых судей», «Уполномоченный многофункциональный центр предоставления государственных и муниципальных услуг», государственных казенных архивных учреждений Ростовской области и государственного бюджетного учреждения Ростовской области «Центр содействия развитию </w:t>
      </w:r>
      <w:r>
        <w:t>имущественно-земельных</w:t>
      </w:r>
      <w:r>
        <w:t xml:space="preserve"> отношений</w:t>
      </w:r>
      <w:r>
        <w:t xml:space="preserve"> Ростовской области»,   </w:t>
      </w:r>
      <w:r>
        <w:rPr>
          <w:spacing w:val="-1"/>
        </w:rPr>
        <w:t>в 2025 году в общей сумме 992 млн рублей, в 2026 году – 1 011,5 млн рублей, в 2027 году – 1 027,1 млн рублей;</w:t>
      </w:r>
    </w:p>
    <w:p w14:paraId="7A010000">
      <w:pPr>
        <w:ind w:firstLine="709" w:left="0"/>
        <w:jc w:val="both"/>
      </w:pPr>
      <w:r>
        <w:t>финансовое обеспечение государственного казенного учреждения Ростовской области «Казаки Дона» в 2025 году – 123,7 млн рублей, в 2026 году – 127,9 млн рублей, в 2027 году – 132,3 млн рублей;</w:t>
      </w:r>
    </w:p>
    <w:p w14:paraId="7B010000">
      <w:pPr>
        <w:ind w:firstLine="709" w:left="0"/>
        <w:jc w:val="both"/>
      </w:pPr>
      <w:r>
        <w:t>финансовое обеспечение государственного казенного учреждения Ростовской области «</w:t>
      </w:r>
      <w:r>
        <w:t>Ростсистема</w:t>
      </w:r>
      <w:r>
        <w:t>» в 2025 году – 29,7 млн рублей, в 2026 году – 30,4 млн рублей, в 2027 году – 31,0 млн рублей;</w:t>
      </w:r>
    </w:p>
    <w:p w14:paraId="7C010000">
      <w:pPr>
        <w:ind w:firstLine="709" w:left="0"/>
        <w:jc w:val="both"/>
      </w:pPr>
      <w:r>
        <w:t>финансовое обеспечение выполнения государственным бюджетным учреждением Ростовской области «</w:t>
      </w:r>
      <w:r>
        <w:t>Ростовоблстройзаказчик</w:t>
      </w:r>
      <w:r>
        <w:t xml:space="preserve">» государственного задания в 2025 году в сумме 203,0 млн рублей, в 2026 году – 209,7 млн рублей, в 2027 году – 216,7 млн рублей; </w:t>
      </w:r>
    </w:p>
    <w:p w14:paraId="7D010000">
      <w:pPr>
        <w:tabs>
          <w:tab w:leader="none" w:pos="709" w:val="left"/>
        </w:tabs>
        <w:ind w:firstLine="709" w:left="0"/>
        <w:jc w:val="both"/>
        <w:rPr>
          <w:spacing w:val="-1"/>
        </w:rPr>
      </w:pPr>
      <w:r>
        <w:rPr>
          <w:spacing w:val="-1"/>
        </w:rPr>
        <w:t xml:space="preserve">финансовое обеспечение деятельности автономной некоммерческой организации </w:t>
      </w:r>
      <w:r>
        <w:t>«Агентство развития гражданских инициатив Ростовской области»</w:t>
      </w:r>
      <w:r>
        <w:rPr>
          <w:spacing w:val="-1"/>
        </w:rPr>
        <w:t xml:space="preserve"> </w:t>
      </w:r>
      <w:r>
        <w:t>в 2025-2027 годах по 67,9 млн рублей ежегодно;</w:t>
      </w:r>
    </w:p>
    <w:p w14:paraId="7E010000">
      <w:pPr>
        <w:ind w:firstLine="709" w:left="0"/>
        <w:jc w:val="both"/>
        <w:rPr>
          <w:color w:themeColor="text1" w:val="000000"/>
          <w:spacing w:val="-1"/>
        </w:rPr>
      </w:pPr>
      <w:r>
        <w:rPr>
          <w:color w:themeColor="text1" w:val="000000"/>
          <w:spacing w:val="-1"/>
        </w:rPr>
        <w:t>организацию деятельности многофункциональных центров предоставления государственных и муниципальных услуг в Ростовской области в 2025 году в сумме 37,5 млн рублей, в 2026 году – 39,1 млн рублей, в 2027 – 39,1 млн рублей;</w:t>
      </w:r>
    </w:p>
    <w:p w14:paraId="7F010000">
      <w:pPr>
        <w:ind w:firstLine="709" w:left="0"/>
        <w:jc w:val="both"/>
      </w:pPr>
      <w:r>
        <w:t>предоставление субвенций органам местного самоуправления по созданию и обеспечению деятельности административных комиссий (62 штатные единицы) и комиссий по делам несовершеннолетних (63 штатные единицы), а также на осуществление полномочий по определению перечня должностных лиц, уполномоченных составлять протоколы об административных правонарушениях,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r>
        <w:rPr>
          <w:color w:val="FF0000"/>
        </w:rPr>
        <w:t xml:space="preserve"> </w:t>
      </w:r>
      <w:r>
        <w:t>в 2025 году – 103,9</w:t>
      </w:r>
      <w:r>
        <w:t xml:space="preserve">  млн рублей, в 2026 году – 107,6 млн рублей, в 2027 году –111,3 млн рублей;</w:t>
      </w:r>
    </w:p>
    <w:p w14:paraId="80010000">
      <w:pPr>
        <w:ind w:firstLine="709" w:left="0"/>
        <w:jc w:val="both"/>
      </w:pPr>
      <w:r>
        <w:t>предоставление субвенций бюджетам муниципальных районов и городских округов на государственную регистрацию актов гражданского состояния (371 штатная единица) за счет средств федерального бюджета в 2025 году в сумме 188,4 млн рублей, в 2026 году – 196,2 млн рублей;</w:t>
      </w:r>
    </w:p>
    <w:p w14:paraId="81010000">
      <w:pPr>
        <w:ind w:firstLine="709" w:left="0"/>
        <w:jc w:val="both"/>
        <w:rPr>
          <w:spacing w:val="-1"/>
        </w:rPr>
      </w:pPr>
      <w:r>
        <w:rPr>
          <w:spacing w:val="-1"/>
        </w:rPr>
        <w:t>предоставление субсидии Адвокатской палате Ростовской области на возмещение затрат, связанных с оказанием бесплатной квалифицированной помощи, в 2025-2027 годах в сумме 9,0 млн рублей ежегодно;</w:t>
      </w:r>
    </w:p>
    <w:p w14:paraId="82010000">
      <w:pPr>
        <w:spacing w:line="228" w:lineRule="auto"/>
        <w:ind w:firstLine="709" w:left="0"/>
        <w:jc w:val="both"/>
        <w:rPr>
          <w:spacing w:val="-1"/>
        </w:rPr>
      </w:pPr>
      <w:r>
        <w:rPr>
          <w:spacing w:val="-1"/>
        </w:rPr>
        <w:t>реализацию комплекса мер по повышению правовой культуры избирателей (участников референдума) и обеспечению организации выборов и референдумов в Ростовской области в 2025-2027 годах в сумме 61,1 млн рублей ежегодно;</w:t>
      </w:r>
    </w:p>
    <w:p w14:paraId="83010000">
      <w:pPr>
        <w:spacing w:line="228" w:lineRule="auto"/>
        <w:ind w:firstLine="709" w:left="0"/>
        <w:jc w:val="both"/>
        <w:rPr>
          <w:spacing w:val="-1"/>
        </w:rPr>
      </w:pPr>
      <w:r>
        <w:rPr>
          <w:spacing w:val="-1"/>
        </w:rPr>
        <w:t xml:space="preserve">подготовку и проведение выборов в органы местного самоуправления в </w:t>
      </w:r>
      <w:r>
        <w:rPr>
          <w:spacing w:val="-1"/>
        </w:rPr>
        <w:br/>
      </w:r>
      <w:r>
        <w:rPr>
          <w:spacing w:val="-1"/>
        </w:rPr>
        <w:t>2025 году в сумме 4,3 млн рублей, в 2026 году – 6,2 млн рублей, в 2027 году – 1,9 млн рублей;</w:t>
      </w:r>
    </w:p>
    <w:p w14:paraId="84010000">
      <w:pPr>
        <w:spacing w:line="228" w:lineRule="auto"/>
        <w:ind w:firstLine="709" w:left="0"/>
        <w:jc w:val="both"/>
      </w:pPr>
      <w:r>
        <w:t xml:space="preserve">мероприятия по проведению экспертных работ по выявлению признаков экстремизма и пропаганды террористической идеологии в информационных материалах, в том числе </w:t>
      </w:r>
      <w:r>
        <w:t>доследственной</w:t>
      </w:r>
      <w:r>
        <w:t xml:space="preserve"> проверки, предшествующей принятию решения о возбуждении уголовного дела в 2025-2027 годах в сумме 3,6 млн рублей ежегодно;</w:t>
      </w:r>
    </w:p>
    <w:p w14:paraId="85010000">
      <w:pPr>
        <w:spacing w:line="228" w:lineRule="auto"/>
        <w:ind w:firstLine="709" w:left="0"/>
        <w:jc w:val="both"/>
      </w:pPr>
      <w:r>
        <w:t>мероприятия по антитеррористической защищённости объектов социальной сферы, судебных участков мировых судей в 2025-2027 годах в сумме 11,2 млн рублей ежегодно;</w:t>
      </w:r>
    </w:p>
    <w:p w14:paraId="86010000">
      <w:pPr>
        <w:spacing w:line="228" w:lineRule="auto"/>
        <w:ind w:firstLine="709" w:left="0"/>
        <w:jc w:val="both"/>
      </w:pPr>
      <w:r>
        <w:t>мероприятия, направленные на укрепление единства Российской нации и гармонизацию межэтнических отношений в Ростовской области, в 2025-2027 годах в сумме 1,5 млн рублей ежегодно;</w:t>
      </w:r>
    </w:p>
    <w:p w14:paraId="87010000">
      <w:pPr>
        <w:spacing w:line="228" w:lineRule="auto"/>
        <w:ind w:firstLine="709" w:left="0"/>
        <w:jc w:val="both"/>
        <w:rPr>
          <w:color w:themeColor="text1" w:val="000000"/>
          <w:spacing w:val="-1"/>
        </w:rPr>
      </w:pPr>
      <w:r>
        <w:rPr>
          <w:color w:themeColor="text1" w:val="000000"/>
        </w:rPr>
        <w:t>обеспечение функционирования и эффективного использования информационной системы «Единая автоматизированная система управления общественными финансами в Ростовской области»</w:t>
      </w:r>
      <w:r>
        <w:rPr>
          <w:color w:themeColor="text1" w:val="000000"/>
          <w:spacing w:val="-1"/>
        </w:rPr>
        <w:t xml:space="preserve"> в 2025-2027 годах </w:t>
      </w:r>
      <w:r>
        <w:rPr>
          <w:color w:themeColor="text1" w:val="000000"/>
          <w:spacing w:val="-1"/>
        </w:rPr>
        <w:br/>
      </w:r>
      <w:r>
        <w:rPr>
          <w:color w:themeColor="text1" w:val="000000"/>
          <w:spacing w:val="-1"/>
        </w:rPr>
        <w:t>в сумме 120,0 млн рублей ежегодно;</w:t>
      </w:r>
    </w:p>
    <w:p w14:paraId="88010000">
      <w:pPr>
        <w:spacing w:line="228" w:lineRule="auto"/>
        <w:ind w:firstLine="709" w:left="0"/>
        <w:jc w:val="both"/>
        <w:rPr>
          <w:color w:themeColor="text1" w:val="000000"/>
          <w:spacing w:val="-1"/>
        </w:rPr>
      </w:pPr>
      <w:r>
        <w:rPr>
          <w:color w:themeColor="text1" w:val="000000"/>
          <w:spacing w:val="-1"/>
        </w:rPr>
        <w:t>уплату годового членского взноса в Ассоциацию экономического взаимодействия субъектов Российской Федерации Южного федерального округа «Юг» в 2025-2027 годах в сумме 9,4 млн рублей ежегодно;</w:t>
      </w:r>
    </w:p>
    <w:p w14:paraId="89010000">
      <w:pPr>
        <w:spacing w:line="228" w:lineRule="auto"/>
        <w:ind w:firstLine="709" w:left="0"/>
        <w:jc w:val="both"/>
        <w:rPr>
          <w:spacing w:val="-1"/>
        </w:rPr>
      </w:pPr>
      <w:r>
        <w:t xml:space="preserve">уплату налога на имущество, земельного налога и иных налогов и сборов органов государственной власти Ростовской области </w:t>
      </w:r>
      <w:r>
        <w:rPr>
          <w:spacing w:val="-1"/>
        </w:rPr>
        <w:t>в 2025-2027 годах в сумме 541,4 млн рублей ежегодно;</w:t>
      </w:r>
    </w:p>
    <w:p w14:paraId="8A010000">
      <w:pPr>
        <w:spacing w:line="228" w:lineRule="auto"/>
        <w:ind w:firstLine="709" w:left="0"/>
        <w:jc w:val="both"/>
        <w:rPr>
          <w:color w:themeColor="text1" w:val="000000"/>
          <w:spacing w:val="-1"/>
        </w:rPr>
      </w:pPr>
      <w:r>
        <w:rPr>
          <w:color w:themeColor="text1" w:val="000000"/>
          <w:spacing w:val="-1"/>
        </w:rPr>
        <w:t xml:space="preserve">развитие международного сотрудничества в 2025-2027 годах в сумме </w:t>
      </w:r>
      <w:r>
        <w:rPr>
          <w:color w:themeColor="text1" w:val="000000"/>
          <w:spacing w:val="-1"/>
        </w:rPr>
        <w:br/>
      </w:r>
      <w:r>
        <w:rPr>
          <w:color w:themeColor="text1" w:val="000000"/>
          <w:spacing w:val="-1"/>
        </w:rPr>
        <w:t xml:space="preserve">1,9 млн рублей ежегодно; </w:t>
      </w:r>
    </w:p>
    <w:p w14:paraId="8B010000">
      <w:pPr>
        <w:spacing w:line="228" w:lineRule="auto"/>
        <w:ind w:firstLine="709" w:left="0"/>
        <w:jc w:val="both"/>
        <w:rPr>
          <w:color w:themeColor="text1" w:val="000000"/>
          <w:spacing w:val="-1"/>
        </w:rPr>
      </w:pPr>
      <w:r>
        <w:rPr>
          <w:color w:themeColor="text1" w:val="000000"/>
        </w:rPr>
        <w:t xml:space="preserve">развитие и сопровождение цифровой инфраструктуры, обеспечение защиты информации </w:t>
      </w:r>
      <w:r>
        <w:rPr>
          <w:color w:themeColor="text1" w:val="000000"/>
          <w:spacing w:val="-1"/>
        </w:rPr>
        <w:t>в 2025-2027 годах в сумме 44,6 млн рублей ежегодно.</w:t>
      </w:r>
    </w:p>
    <w:p w14:paraId="8C010000">
      <w:pPr>
        <w:spacing w:line="228" w:lineRule="auto"/>
        <w:ind w:firstLine="709" w:left="0"/>
        <w:jc w:val="both"/>
      </w:pPr>
      <w:r>
        <w:t xml:space="preserve">В целях создания условий для привлечения членов казачьих обществ </w:t>
      </w:r>
      <w:r>
        <w:br/>
      </w:r>
      <w:r>
        <w:t>к несению государственной и иной службы предусмотрены средства на предоставление иных межбюджетных трансфертов бюджетам муниципальных образований области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на 2025-2027 годы в сумме 472,4 млн рублей ежегодно.</w:t>
      </w:r>
    </w:p>
    <w:p w14:paraId="8D010000">
      <w:pPr>
        <w:spacing w:line="228" w:lineRule="auto"/>
        <w:ind w:firstLine="709" w:left="0"/>
        <w:jc w:val="both"/>
        <w:rPr>
          <w:spacing w:val="-6"/>
        </w:rPr>
      </w:pPr>
      <w:r>
        <w:rPr>
          <w:spacing w:val="-6"/>
        </w:rPr>
        <w:t>На предоставление субсидий войсковому казачьему обществу «</w:t>
      </w:r>
      <w:r>
        <w:rPr>
          <w:spacing w:val="-6"/>
        </w:rPr>
        <w:t>Всевеликое</w:t>
      </w:r>
      <w:r>
        <w:rPr>
          <w:spacing w:val="-6"/>
        </w:rPr>
        <w:t xml:space="preserve"> войско Донское» на 2025-2027 годы запланировано 57,2 млн рублей, в том числе </w:t>
      </w:r>
      <w:r>
        <w:rPr>
          <w:spacing w:val="-6"/>
        </w:rPr>
        <w:t>на</w:t>
      </w:r>
      <w:r>
        <w:rPr>
          <w:spacing w:val="-6"/>
        </w:rPr>
        <w:t>:</w:t>
      </w:r>
    </w:p>
    <w:p w14:paraId="8E010000">
      <w:pPr>
        <w:spacing w:line="228" w:lineRule="auto"/>
        <w:ind w:firstLine="709" w:left="0"/>
        <w:jc w:val="both"/>
      </w:pPr>
      <w:r>
        <w:t xml:space="preserve">организацию и участие парадного расчета казаков от Ростовской области в военном параде на Красной площади в </w:t>
      </w:r>
      <w:r>
        <w:t>г</w:t>
      </w:r>
      <w:r>
        <w:t>. Москве, посвященном празднованию Победы в Великой Отечественной войне 1941 - 1945 годов в 2025 году – 33,5 млн рублей;</w:t>
      </w:r>
    </w:p>
    <w:p w14:paraId="8F010000">
      <w:pPr>
        <w:spacing w:line="228" w:lineRule="auto"/>
        <w:ind w:firstLine="709" w:left="0"/>
        <w:jc w:val="both"/>
      </w:pPr>
      <w:r>
        <w:t>оплату аренды здания по 7,9 млн рублей ежегодно.</w:t>
      </w:r>
    </w:p>
    <w:p w14:paraId="90010000">
      <w:pPr>
        <w:spacing w:line="228" w:lineRule="auto"/>
        <w:ind w:firstLine="709" w:left="0"/>
        <w:jc w:val="both"/>
      </w:pPr>
      <w:r>
        <w:rPr>
          <w:spacing w:val="-1"/>
        </w:rPr>
        <w:t xml:space="preserve">На </w:t>
      </w:r>
      <w:r>
        <w:t>формирование резервного фонда Правительства Ростовской области в 2025 году предусмотрены средства в сумме 3 602,7 млн рублей, в 2026-2027 годах средства учтены в составе условно утвержденных расходов.</w:t>
      </w:r>
    </w:p>
    <w:p w14:paraId="91010000">
      <w:pPr>
        <w:spacing w:line="228" w:lineRule="auto"/>
        <w:ind w:firstLine="709" w:left="0"/>
        <w:jc w:val="both"/>
      </w:pPr>
      <w:r>
        <w:t xml:space="preserve">Необходимость планирования условно утвержденных расходов на           2026-2027 годы в настоящее время обусловлена нормой Бюджетного кодекса Российской Федерации: на 2026 год – не менее 2,5 процентов от общего объема расходов без учета расходов, предусмотренных за счет целевых межбюджетных трансфертов из федерального бюджета, на 2027 год – не менее 5 процентов. </w:t>
      </w:r>
    </w:p>
    <w:p w14:paraId="92010000">
      <w:pPr>
        <w:spacing w:line="228" w:lineRule="auto"/>
        <w:ind w:firstLine="709" w:left="0"/>
        <w:jc w:val="both"/>
      </w:pPr>
      <w:r>
        <w:t>Условно утвержденные расходы составят в 2026 году – 59 720,6 млн рублей, в 2027 году – 55 627,3 млн рублей.</w:t>
      </w:r>
    </w:p>
    <w:p w14:paraId="93010000">
      <w:pPr>
        <w:spacing w:line="228" w:lineRule="auto"/>
        <w:ind w:firstLine="709" w:left="0"/>
        <w:jc w:val="both"/>
      </w:pPr>
      <w:r>
        <w:t xml:space="preserve">Дополнительно создан резерв в объеме 15 500,0 млн рублей в целях финансирования первоочередных расходов, в том числе связанных с проведением специальной военной операции для последующего перераспределения в резервный фонд, а также для распределения ко </w:t>
      </w:r>
      <w:r>
        <w:t>2</w:t>
      </w:r>
      <w:r>
        <w:t xml:space="preserve"> чтению закона о бюджете в целях:</w:t>
      </w:r>
    </w:p>
    <w:p w14:paraId="94010000">
      <w:pPr>
        <w:spacing w:line="228" w:lineRule="auto"/>
        <w:ind w:firstLine="709" w:left="0"/>
        <w:jc w:val="both"/>
      </w:pPr>
      <w:r>
        <w:t xml:space="preserve">финансового обеспечения решений, принятых в </w:t>
      </w:r>
      <w:r>
        <w:t>IV</w:t>
      </w:r>
      <w:r>
        <w:t xml:space="preserve"> квартале текущего года;</w:t>
      </w:r>
    </w:p>
    <w:p w14:paraId="95010000">
      <w:pPr>
        <w:spacing w:line="228" w:lineRule="auto"/>
        <w:ind w:firstLine="709" w:left="0"/>
        <w:jc w:val="both"/>
      </w:pPr>
      <w:r>
        <w:t>оснащения оборудованием, инвентарем, мебелью объектов социальной сферы, введенных в эксплуатацию после завершения строительства, реконструкции, капитального ремонта;</w:t>
      </w:r>
    </w:p>
    <w:p w14:paraId="96010000">
      <w:pPr>
        <w:spacing w:line="228" w:lineRule="auto"/>
        <w:ind w:firstLine="709" w:left="0"/>
        <w:jc w:val="both"/>
      </w:pPr>
      <w:r>
        <w:t>софинансирования</w:t>
      </w:r>
      <w:r>
        <w:t xml:space="preserve"> федеральных средств.</w:t>
      </w:r>
    </w:p>
    <w:p w14:paraId="97010000">
      <w:pPr>
        <w:tabs>
          <w:tab w:leader="none" w:pos="7265" w:val="left"/>
        </w:tabs>
        <w:spacing w:line="228" w:lineRule="auto"/>
        <w:ind w:firstLine="709" w:left="0"/>
        <w:jc w:val="both"/>
      </w:pPr>
      <w:r>
        <w:t>По данному разделу также зарезервированы бюджетные ассигнования на реализацию инициативных проектов на 2025 – 2027 годы по 500,0 млн рублей ежегодно.</w:t>
      </w:r>
    </w:p>
    <w:p w14:paraId="98010000">
      <w:pPr>
        <w:tabs>
          <w:tab w:leader="none" w:pos="7265" w:val="left"/>
        </w:tabs>
        <w:spacing w:line="228" w:lineRule="auto"/>
        <w:ind w:firstLine="709" w:left="0"/>
        <w:jc w:val="both"/>
      </w:pPr>
    </w:p>
    <w:p w14:paraId="99010000">
      <w:pPr>
        <w:spacing w:line="228" w:lineRule="auto"/>
        <w:ind/>
        <w:jc w:val="center"/>
        <w:outlineLvl w:val="2"/>
        <w:rPr>
          <w:b w:val="1"/>
        </w:rPr>
      </w:pPr>
      <w:r>
        <w:rPr>
          <w:b w:val="1"/>
        </w:rPr>
        <w:t>РАЗДЕЛ</w:t>
      </w:r>
    </w:p>
    <w:p w14:paraId="9A010000">
      <w:pPr>
        <w:spacing w:line="228" w:lineRule="auto"/>
        <w:ind/>
        <w:jc w:val="center"/>
        <w:outlineLvl w:val="2"/>
        <w:rPr>
          <w:b w:val="1"/>
        </w:rPr>
      </w:pPr>
      <w:r>
        <w:rPr>
          <w:b w:val="1"/>
        </w:rPr>
        <w:t xml:space="preserve"> «НАЦИОНАЛЬНАЯ ОБОРОНА»</w:t>
      </w:r>
    </w:p>
    <w:p w14:paraId="9B010000">
      <w:pPr>
        <w:spacing w:line="228" w:lineRule="auto"/>
        <w:ind w:firstLine="709" w:left="0"/>
        <w:jc w:val="both"/>
        <w:outlineLvl w:val="0"/>
      </w:pPr>
    </w:p>
    <w:p w14:paraId="9C010000">
      <w:pPr>
        <w:spacing w:line="228" w:lineRule="auto"/>
        <w:ind w:firstLine="709" w:left="0"/>
        <w:jc w:val="both"/>
        <w:outlineLvl w:val="0"/>
      </w:pPr>
      <w:r>
        <w:t>В проекте областного бюджета по разделу</w:t>
      </w:r>
      <w:r>
        <w:rPr>
          <w:color w:themeColor="background1" w:val="FFFFFF"/>
        </w:rPr>
        <w:t xml:space="preserve"> </w:t>
      </w:r>
      <w:r>
        <w:t>бюджета «Национальная оборона» на 2025 год предусмотрены бюджетные ассигнования в сумме 167,8 млн рублей, на 2026 год – 160,9 млн рублей и на 2027 год – 21,9 млн рублей.</w:t>
      </w:r>
    </w:p>
    <w:p w14:paraId="9D010000">
      <w:pPr>
        <w:spacing w:line="228" w:lineRule="auto"/>
        <w:ind w:firstLine="709" w:left="0"/>
        <w:jc w:val="both"/>
        <w:rPr>
          <w:spacing w:val="-1"/>
        </w:rPr>
      </w:pPr>
      <w:r>
        <w:rPr>
          <w:spacing w:val="-1"/>
        </w:rPr>
        <w:t xml:space="preserve">Расходы по данному разделу будут направлены </w:t>
      </w:r>
      <w:r>
        <w:rPr>
          <w:spacing w:val="-1"/>
        </w:rPr>
        <w:t>на</w:t>
      </w:r>
      <w:r>
        <w:rPr>
          <w:spacing w:val="-1"/>
        </w:rPr>
        <w:t>:</w:t>
      </w:r>
    </w:p>
    <w:p w14:paraId="9E010000">
      <w:pPr>
        <w:spacing w:line="228" w:lineRule="auto"/>
        <w:ind w:firstLine="709" w:left="0"/>
        <w:jc w:val="both"/>
      </w:pPr>
      <w:r>
        <w:t xml:space="preserve">мероприятия по гражданской обороне, защите населения и территории субъекта Российской Федерации и финансовое обеспечение деятельности государственного казенного учреждения Ростовской области </w:t>
      </w:r>
      <w:r>
        <w:rPr>
          <w:spacing w:val="-1"/>
        </w:rPr>
        <w:t xml:space="preserve">в 2025 году </w:t>
      </w:r>
      <w:r>
        <w:t xml:space="preserve">в сумме 40,0 млн рублей, </w:t>
      </w:r>
      <w:r>
        <w:rPr>
          <w:spacing w:val="-1"/>
        </w:rPr>
        <w:t>в 2026 году</w:t>
      </w:r>
      <w:r>
        <w:t xml:space="preserve"> – 21,5 млн рублей, в 2027 году – 21,9 млн рублей;</w:t>
      </w:r>
    </w:p>
    <w:p w14:paraId="9F010000">
      <w:pPr>
        <w:spacing w:line="228" w:lineRule="auto"/>
        <w:ind w:firstLine="709" w:left="0"/>
        <w:jc w:val="both"/>
      </w:pPr>
      <w:r>
        <w:t>выполнение переданных полномочий Российской Федерации за счет средств федерального бюджета на осуществление полномочий по первичному воинскому учету органами местного самоуправления поселений, муниципальных районов и городских округов в 2025 году в сумме 127,8 млн рублей, в 2026 году –</w:t>
      </w:r>
      <w:r>
        <w:br/>
      </w:r>
      <w:r>
        <w:t xml:space="preserve">139,4 млн рублей. </w:t>
      </w:r>
    </w:p>
    <w:p w14:paraId="A0010000">
      <w:pPr>
        <w:spacing w:line="228" w:lineRule="auto"/>
        <w:ind/>
        <w:outlineLvl w:val="2"/>
        <w:rPr>
          <w:b w:val="1"/>
        </w:rPr>
      </w:pPr>
    </w:p>
    <w:p w14:paraId="A1010000">
      <w:pPr>
        <w:spacing w:line="228" w:lineRule="auto"/>
        <w:ind/>
        <w:jc w:val="center"/>
        <w:outlineLvl w:val="2"/>
        <w:rPr>
          <w:b w:val="1"/>
        </w:rPr>
      </w:pPr>
      <w:r>
        <w:rPr>
          <w:b w:val="1"/>
        </w:rPr>
        <w:t>РАЗДЕЛ</w:t>
      </w:r>
    </w:p>
    <w:p w14:paraId="A2010000">
      <w:pPr>
        <w:spacing w:line="228" w:lineRule="auto"/>
        <w:ind/>
        <w:jc w:val="center"/>
        <w:outlineLvl w:val="2"/>
        <w:rPr>
          <w:b w:val="1"/>
        </w:rPr>
      </w:pPr>
      <w:r>
        <w:rPr>
          <w:b w:val="1"/>
        </w:rPr>
        <w:t xml:space="preserve">«НАЦИОНАЛЬНАЯ БЕЗОПАСНОСТЬ И </w:t>
      </w:r>
    </w:p>
    <w:p w14:paraId="A3010000">
      <w:pPr>
        <w:spacing w:line="228" w:lineRule="auto"/>
        <w:ind/>
        <w:jc w:val="center"/>
        <w:outlineLvl w:val="2"/>
        <w:rPr>
          <w:b w:val="1"/>
        </w:rPr>
      </w:pPr>
      <w:r>
        <w:rPr>
          <w:b w:val="1"/>
        </w:rPr>
        <w:t>ПРАВООХРАНИТЕЛЬНАЯ ДЕЯТЕЛЬНОСТЬ»</w:t>
      </w:r>
    </w:p>
    <w:p w14:paraId="A4010000">
      <w:pPr>
        <w:spacing w:line="228" w:lineRule="auto"/>
        <w:ind/>
        <w:jc w:val="center"/>
        <w:outlineLvl w:val="2"/>
        <w:rPr>
          <w:b w:val="1"/>
        </w:rPr>
      </w:pPr>
    </w:p>
    <w:p w14:paraId="A5010000">
      <w:pPr>
        <w:spacing w:line="228" w:lineRule="auto"/>
        <w:ind w:firstLine="709" w:left="0"/>
        <w:jc w:val="both"/>
        <w:outlineLvl w:val="0"/>
      </w:pPr>
      <w:r>
        <w:t>В проекте областного бюджета по разделу «Национальная безопасность и правоохранительная деятельность» на 2025 год предусмотрены бюджетные ассигнования в сумме 2 205,3 млн рублей, на 2026 год  – 2 147,2 млн рублей и на 2027 год – 2 166,2 млн рублей.</w:t>
      </w:r>
    </w:p>
    <w:p w14:paraId="A6010000">
      <w:pPr>
        <w:spacing w:line="228" w:lineRule="auto"/>
        <w:ind w:firstLine="709" w:left="0"/>
        <w:jc w:val="both"/>
        <w:outlineLvl w:val="0"/>
      </w:pPr>
      <w:r>
        <w:t>Данный раздел аккумулирует расходы областного бюджета на исполнение полномочий органов государственной власти субъекта Российской Федерации по предупреждению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 а также организации и осуществления на межмуниципальном и региональном уровне мероприятий по территориальной обороне и гражданской обороне</w:t>
      </w:r>
      <w:r>
        <w:t>, защите населения и территории субъекта Российской Федерации.</w:t>
      </w:r>
    </w:p>
    <w:p w14:paraId="A7010000">
      <w:pPr>
        <w:spacing w:line="228" w:lineRule="auto"/>
        <w:ind w:firstLine="709" w:left="0"/>
        <w:jc w:val="both"/>
        <w:rPr>
          <w:spacing w:val="-1"/>
        </w:rPr>
      </w:pPr>
      <w:r>
        <w:rPr>
          <w:spacing w:val="-1"/>
        </w:rPr>
        <w:t xml:space="preserve">Расходы по разделу будут направлены </w:t>
      </w:r>
      <w:r>
        <w:rPr>
          <w:spacing w:val="-1"/>
        </w:rPr>
        <w:t>на</w:t>
      </w:r>
      <w:r>
        <w:rPr>
          <w:spacing w:val="-1"/>
        </w:rPr>
        <w:t>:</w:t>
      </w:r>
    </w:p>
    <w:p w14:paraId="A8010000">
      <w:pPr>
        <w:spacing w:line="228" w:lineRule="auto"/>
        <w:ind w:firstLine="709" w:left="0"/>
        <w:jc w:val="both"/>
      </w:pPr>
      <w:r>
        <w:t>финансовое обеспечение деятельности департамента по предупреждению и ликвидации чрезвычайных ситуаций Ростовской области (62 штатные единицы) и подведомственных ему государственных казенных учреждений (1 453 штатных единиц) в 2025 году в сумме 1 325,8 млн рублей, в 2026 году – 1 375,4 млн рублей, в 2027 году – 1 427,0 млн рублей;</w:t>
      </w:r>
    </w:p>
    <w:p w14:paraId="A9010000">
      <w:pPr>
        <w:spacing w:line="228" w:lineRule="auto"/>
        <w:ind w:firstLine="709" w:left="0"/>
        <w:jc w:val="both"/>
        <w:rPr>
          <w:b w:val="1"/>
        </w:rPr>
      </w:pPr>
      <w:r>
        <w:t>субсидию войсковому казачьему обществу «</w:t>
      </w:r>
      <w:r>
        <w:t>Всевеликое</w:t>
      </w:r>
      <w:r>
        <w:t xml:space="preserve"> войско Донское» на оказание содействия в тушении пожаров на территории Ростовской области в 2025-2027 годах в сумме 31,1 млн рублей</w:t>
      </w:r>
      <w:r>
        <w:rPr>
          <w:b w:val="1"/>
        </w:rPr>
        <w:t xml:space="preserve"> </w:t>
      </w:r>
      <w:r>
        <w:t>ежегодно;</w:t>
      </w:r>
    </w:p>
    <w:p w14:paraId="AA010000">
      <w:pPr>
        <w:spacing w:line="228" w:lineRule="auto"/>
        <w:ind w:firstLine="709" w:left="0"/>
        <w:jc w:val="both"/>
      </w:pPr>
      <w:r>
        <w:t>обеспечение функционирования и поддержания в постоянной готовности камер видеонаблюдения и оборудования аппаратно-программного комплекса «Безопасный город» на территории Ростовской области в 2025-2027 годах в сумме 538,3 млн рублей ежегодно;</w:t>
      </w:r>
    </w:p>
    <w:p w14:paraId="AB010000">
      <w:pPr>
        <w:spacing w:line="228" w:lineRule="auto"/>
        <w:ind w:firstLine="709" w:left="0"/>
        <w:jc w:val="both"/>
      </w:pPr>
      <w:r>
        <w:t>модернизацию и поддержание в готовности региональной системы оповещения населения Ростовской области в 2025 году в сумме 202,0 млн рублей, в 2026-2027 годах в сумме 101,0 млн рублей ежегодно;</w:t>
      </w:r>
    </w:p>
    <w:p w14:paraId="AC010000">
      <w:pPr>
        <w:spacing w:line="228" w:lineRule="auto"/>
        <w:ind w:firstLine="709" w:left="0"/>
        <w:jc w:val="both"/>
      </w:pPr>
      <w:r>
        <w:t>мероприятия по обеспечению пожарной безопасности в 2025 году в сумме 28,4 млн рублей, в 2026 году – 26,5 млн рублей, в 2027 году – 4,6 млн рублей;</w:t>
      </w:r>
    </w:p>
    <w:p w14:paraId="AD010000">
      <w:pPr>
        <w:spacing w:line="228" w:lineRule="auto"/>
        <w:ind w:firstLine="709" w:left="0"/>
        <w:jc w:val="both"/>
      </w:pPr>
      <w:r>
        <w:t>мероприятия по обеспечению договоров на оказание услуг по тушению пожаров в населенных пунктах муниципальных районов Ростовской области в 2025-2027 годах в сумме 2,3 млн рублей ежегодно;</w:t>
      </w:r>
    </w:p>
    <w:p w14:paraId="AE010000">
      <w:pPr>
        <w:spacing w:line="228" w:lineRule="auto"/>
        <w:ind w:firstLine="709" w:left="0"/>
        <w:jc w:val="both"/>
      </w:pPr>
      <w:r>
        <w:t xml:space="preserve">мероприятия по защите населения от чрезвычайных ситуаций  в 2025 году </w:t>
      </w:r>
      <w:r>
        <w:br/>
      </w:r>
      <w:r>
        <w:t xml:space="preserve">в сумме 20,3 млн рублей, в 2026 году – 13,0 млн рублей, в 2027 году –  </w:t>
      </w:r>
      <w:r>
        <w:br/>
      </w:r>
      <w:r>
        <w:t>2,4 млн рублей;</w:t>
      </w:r>
    </w:p>
    <w:p w14:paraId="AF010000">
      <w:pPr>
        <w:spacing w:line="228" w:lineRule="auto"/>
        <w:ind w:firstLine="709" w:left="0"/>
        <w:jc w:val="both"/>
      </w:pPr>
      <w:r>
        <w:t xml:space="preserve">развитие и сопровождение цифровой </w:t>
      </w:r>
      <w:r>
        <w:t>инфраструктуры</w:t>
      </w:r>
      <w:r>
        <w:t xml:space="preserve"> и обеспечение защиты информации департамента по предупреждению и ликвидации чрезвычайных ситуаций Ростовской области в 2025-2027 годах в сумме 1,9 млн рублей ежегодно;</w:t>
      </w:r>
    </w:p>
    <w:p w14:paraId="B0010000">
      <w:pPr>
        <w:spacing w:line="228" w:lineRule="auto"/>
        <w:ind w:firstLine="709" w:left="0"/>
        <w:jc w:val="both"/>
      </w:pPr>
      <w:r>
        <w:t>обеспечение функционирования и поддержания в постоянной готовности системы обеспечения вызовов экстренных оперативных служб по единому номеру 112 в 2025-2027 годах в сумме 47,7 млн рублей ежегодно;</w:t>
      </w:r>
    </w:p>
    <w:p w14:paraId="B1010000">
      <w:pPr>
        <w:spacing w:line="228" w:lineRule="auto"/>
        <w:ind w:firstLine="709" w:left="0"/>
        <w:jc w:val="both"/>
      </w:pPr>
      <w:r>
        <w:t>обеспечение функционирования службы оперативной помощи гражданам по единому номеру «122» в 2025-2027 годах в сумме 4,7 млн рублей ежегодно.</w:t>
      </w:r>
    </w:p>
    <w:p w14:paraId="B2010000">
      <w:pPr>
        <w:spacing w:line="228" w:lineRule="auto"/>
        <w:ind/>
        <w:outlineLvl w:val="2"/>
        <w:rPr>
          <w:b w:val="1"/>
        </w:rPr>
      </w:pPr>
    </w:p>
    <w:p w14:paraId="B3010000">
      <w:pPr>
        <w:spacing w:line="228" w:lineRule="auto"/>
        <w:ind/>
        <w:jc w:val="center"/>
        <w:outlineLvl w:val="2"/>
        <w:rPr>
          <w:b w:val="1"/>
        </w:rPr>
      </w:pPr>
      <w:r>
        <w:rPr>
          <w:b w:val="1"/>
        </w:rPr>
        <w:t>РАЗДЕЛ</w:t>
      </w:r>
    </w:p>
    <w:p w14:paraId="B4010000">
      <w:pPr>
        <w:spacing w:line="228" w:lineRule="auto"/>
        <w:ind/>
        <w:jc w:val="center"/>
        <w:outlineLvl w:val="2"/>
        <w:rPr>
          <w:b w:val="1"/>
        </w:rPr>
      </w:pPr>
      <w:r>
        <w:rPr>
          <w:b w:val="1"/>
        </w:rPr>
        <w:t>«НАЦИОНАЛЬНАЯ ЭКОНОМИКА»</w:t>
      </w:r>
    </w:p>
    <w:p w14:paraId="B5010000">
      <w:pPr>
        <w:spacing w:line="228" w:lineRule="auto"/>
        <w:ind w:firstLine="540" w:left="0"/>
        <w:jc w:val="both"/>
        <w:rPr>
          <w:sz w:val="20"/>
        </w:rPr>
      </w:pPr>
    </w:p>
    <w:p w14:paraId="B6010000">
      <w:pPr>
        <w:spacing w:line="228" w:lineRule="auto"/>
        <w:ind w:firstLine="709" w:left="0"/>
        <w:jc w:val="both"/>
        <w:outlineLvl w:val="0"/>
      </w:pPr>
      <w:r>
        <w:t>В проекте областного бюджета по разделу «Национальная экономика» предусмотрены бюджетные ассигнования в 2025 году – 47 183,0 млн рублей, в 2026 году – 40 479,8 млн</w:t>
      </w:r>
      <w:r>
        <w:t xml:space="preserve"> рублей и в 2027 году – 32 998,6</w:t>
      </w:r>
      <w:r>
        <w:t xml:space="preserve"> млн рублей.</w:t>
      </w:r>
    </w:p>
    <w:p w14:paraId="B7010000">
      <w:pPr>
        <w:ind/>
        <w:jc w:val="both"/>
        <w:rPr>
          <w:b w:val="1"/>
          <w:i w:val="1"/>
        </w:rPr>
      </w:pPr>
    </w:p>
    <w:p w14:paraId="B8010000">
      <w:pPr>
        <w:ind w:firstLine="709" w:left="0"/>
        <w:jc w:val="both"/>
        <w:rPr>
          <w:b w:val="1"/>
          <w:i w:val="1"/>
        </w:rPr>
      </w:pPr>
      <w:r>
        <w:rPr>
          <w:b w:val="1"/>
          <w:i w:val="1"/>
        </w:rPr>
        <w:t xml:space="preserve">Подраздел «Общеэкономические вопросы» </w:t>
      </w:r>
    </w:p>
    <w:p w14:paraId="B9010000">
      <w:pPr>
        <w:ind w:firstLine="709" w:left="0"/>
        <w:jc w:val="both"/>
        <w:rPr>
          <w:spacing w:val="-1"/>
        </w:rPr>
      </w:pPr>
      <w:r>
        <w:rPr>
          <w:spacing w:val="-1"/>
        </w:rPr>
        <w:t xml:space="preserve">Расходы по подразделу будут направлены </w:t>
      </w:r>
      <w:r>
        <w:rPr>
          <w:spacing w:val="-1"/>
        </w:rPr>
        <w:t>на</w:t>
      </w:r>
      <w:r>
        <w:rPr>
          <w:spacing w:val="-1"/>
        </w:rPr>
        <w:t>:</w:t>
      </w:r>
    </w:p>
    <w:p w14:paraId="BA010000">
      <w:pPr>
        <w:widowControl w:val="0"/>
        <w:ind w:firstLine="709" w:left="0"/>
        <w:jc w:val="both"/>
        <w:outlineLvl w:val="1"/>
      </w:pPr>
      <w:r>
        <w:t>финансовое обеспечение деятельности министерства промышленности и энергетики Ростовской области, управления государственной службы занятости населения Ростовской области, Региональной службы по тарифам Ростовской области  в  2025 году – 392,7 млн рублей, в 2026 году – 407,0 млн рублей, в 2027 году – 422,6 млн рублей;</w:t>
      </w:r>
    </w:p>
    <w:p w14:paraId="BB010000">
      <w:pPr>
        <w:ind w:firstLine="709" w:left="0"/>
        <w:jc w:val="both"/>
      </w:pPr>
      <w:r>
        <w:t xml:space="preserve">развитие и сопровождение цифровой </w:t>
      </w:r>
      <w:r>
        <w:t>инфраструктуры</w:t>
      </w:r>
      <w:r>
        <w:t xml:space="preserve"> и защиту информации министерства промышленности и энергетики Ростовской области, управления государственной службы занятости населения Ростовской области, Региональной службы по тарифам Ростовской области в 2025-2027 годах в сумме 4,6 млн рублей ежегодно;</w:t>
      </w:r>
    </w:p>
    <w:p w14:paraId="BC010000">
      <w:pPr>
        <w:ind w:firstLine="709" w:left="0"/>
        <w:jc w:val="both"/>
      </w:pPr>
      <w:r>
        <w:t>предоставление субвенций бюджетам городских округов на осуществление полномочий по государственному регулированию тарифов на перевозку пассажиров и багажа (4 штатных единицы) в 2025 году в сумме 3,2 млн рублей, в 2026 году – 3,3 млн рублей, в 2027 году – 3,4 млн рублей.</w:t>
      </w:r>
    </w:p>
    <w:p w14:paraId="BD010000">
      <w:pPr>
        <w:widowControl w:val="0"/>
        <w:tabs>
          <w:tab w:leader="none" w:pos="7265" w:val="left"/>
        </w:tabs>
        <w:ind w:firstLine="709" w:left="0"/>
        <w:jc w:val="both"/>
      </w:pPr>
      <w:r>
        <w:t>На реализацию расходных обязательств по данному подразделу предусмотрены бюджетные ассигнования на финансовое обеспечение 51 государственного казенного учреждения Ростовской области – центра занятости населения, подведомственного управлению государственной службы занятости населения Ростовской области, в 2025 году – 851,4 млн рублей, в 2026 году – 879,3 млн рублей, в 2027 году – 905,0 млн рублей, из них на:</w:t>
      </w:r>
    </w:p>
    <w:p w14:paraId="BE010000">
      <w:pPr>
        <w:ind w:firstLine="709" w:left="0"/>
        <w:jc w:val="both"/>
      </w:pPr>
      <w:r>
        <w:t>обеспечение деятельности государственных казенных учреждений в 2025 году – 806,5 млн рублей, в 2026 году – 834,4 млн рублей, в 2027 году –  860,1  млн рублей;</w:t>
      </w:r>
    </w:p>
    <w:p w14:paraId="BF010000">
      <w:pPr>
        <w:ind w:firstLine="709" w:left="0"/>
        <w:jc w:val="both"/>
      </w:pPr>
      <w:r>
        <w:t xml:space="preserve">реализацию мероприятий </w:t>
      </w:r>
      <w:r>
        <w:t>по</w:t>
      </w:r>
      <w:r>
        <w:t>:</w:t>
      </w:r>
    </w:p>
    <w:p w14:paraId="C0010000">
      <w:pPr>
        <w:ind w:firstLine="709" w:left="0"/>
        <w:jc w:val="both"/>
      </w:pPr>
      <w:r>
        <w:t>профессиональному обучению и дополнительному профессиональному образованию безработных граждан, включая обучение в другой местности, в 2025-2027 годах по 19,8 млн рублей ежегодно;</w:t>
      </w:r>
    </w:p>
    <w:p w14:paraId="C1010000">
      <w:pPr>
        <w:ind w:firstLine="709" w:left="0"/>
        <w:jc w:val="both"/>
      </w:pPr>
      <w:r>
        <w:t xml:space="preserve">временному трудоустройству несовершеннолетних граждан в возрасте от 14  до 18 лет в свободное от учебы время, безработных граждан, испытывающих трудности в поиске работы (инвалиды, многодетные и одинокие родители, граждане </w:t>
      </w:r>
      <w:r>
        <w:t>предпенсионного</w:t>
      </w:r>
      <w:r>
        <w:t xml:space="preserve"> возраста и другие),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w:t>
      </w:r>
      <w:r>
        <w:t xml:space="preserve"> об образовании и о квалификации, в 2025-2027 годах по 12,9 млн рублей ежегодно;</w:t>
      </w:r>
    </w:p>
    <w:p w14:paraId="C2010000">
      <w:pPr>
        <w:ind w:firstLine="709" w:left="0"/>
        <w:jc w:val="both"/>
      </w:pPr>
      <w:r>
        <w:t xml:space="preserve">проведению оплачиваемых общественных работ для граждан, обратившихся в службу занятости, в 2025-2027 годах по 5,4 млн рублей ежегодно; </w:t>
      </w:r>
    </w:p>
    <w:p w14:paraId="C3010000">
      <w:pPr>
        <w:ind w:firstLine="709" w:left="0"/>
        <w:jc w:val="both"/>
      </w:pPr>
      <w:r>
        <w:t xml:space="preserve">содействию началу осуществления предпринимательской деятельности безработных граждан в 2025-2027 годах по 3,0 млн рублей ежегодно; </w:t>
      </w:r>
    </w:p>
    <w:p w14:paraId="C4010000">
      <w:pPr>
        <w:ind w:firstLine="709" w:left="0"/>
        <w:jc w:val="both"/>
      </w:pPr>
      <w:r>
        <w:t>организации профессионального обучения и дополнительного профессионального образования граждан, работающих на предприятиях оборонно-промышленного комплекса в 2025-2027 годах по 1,6 млн рублей;</w:t>
      </w:r>
    </w:p>
    <w:p w14:paraId="C5010000">
      <w:pPr>
        <w:ind w:firstLine="709" w:left="0"/>
        <w:jc w:val="both"/>
      </w:pPr>
      <w:r>
        <w:t>информированию</w:t>
      </w:r>
      <w:r>
        <w:rPr>
          <w:spacing w:val="-4"/>
        </w:rPr>
        <w:t xml:space="preserve"> </w:t>
      </w:r>
      <w:r>
        <w:t xml:space="preserve">о положении на рынке труда граждан и работодателей в 2025-2027 годах по 1,1 млн рублей ежегодно; </w:t>
      </w:r>
    </w:p>
    <w:p w14:paraId="C6010000">
      <w:pPr>
        <w:ind w:firstLine="709" w:left="0"/>
        <w:jc w:val="both"/>
      </w:pPr>
      <w:r>
        <w:t xml:space="preserve">организации ярмарок вакансий и учебных рабочих мест в 2025-2027 годах по 0,6 млн рублей ежегодно; </w:t>
      </w:r>
    </w:p>
    <w:p w14:paraId="C7010000">
      <w:pPr>
        <w:ind w:firstLine="709" w:left="0"/>
        <w:jc w:val="both"/>
      </w:pPr>
      <w:r>
        <w:t>организации дополнительного профессионального образования, профессиональной подготовки и переподготовки, повышения квалификации участников специальной военной операции, иных лиц и членов их семей в 2025</w:t>
      </w:r>
      <w:r>
        <w:t>2027 годах по 0,2 млн рублей ежегодно;</w:t>
      </w:r>
    </w:p>
    <w:p w14:paraId="C8010000">
      <w:pPr>
        <w:ind w:firstLine="709" w:left="0"/>
        <w:jc w:val="both"/>
      </w:pPr>
      <w:r>
        <w:t xml:space="preserve">опережающему профессиональному обучению и дополнительному профессиональному образованию работников организаций, находящихся под риском увольнения, в 2025-2027 годах по 0,2 млн рублей ежегодно; </w:t>
      </w:r>
    </w:p>
    <w:p w14:paraId="C9010000">
      <w:pPr>
        <w:ind w:firstLine="709" w:left="0"/>
        <w:jc w:val="both"/>
        <w:outlineLvl w:val="2"/>
        <w:rPr>
          <w:b w:val="1"/>
        </w:rPr>
      </w:pPr>
      <w:r>
        <w:t>содействию безработным гражданам в переезде и безработным гражданам и членам их семей в переселении в другую местность для трудоустройства в 2025</w:t>
      </w:r>
      <w:r>
        <w:t>2027 годах по 0,1 млн рублей ежегодно.</w:t>
      </w:r>
    </w:p>
    <w:p w14:paraId="CA010000">
      <w:pPr>
        <w:ind/>
        <w:jc w:val="both"/>
      </w:pPr>
    </w:p>
    <w:p w14:paraId="CB010000">
      <w:pPr>
        <w:ind w:firstLine="709" w:left="0"/>
        <w:jc w:val="both"/>
        <w:rPr>
          <w:b w:val="1"/>
          <w:i w:val="1"/>
        </w:rPr>
      </w:pPr>
      <w:r>
        <w:rPr>
          <w:b w:val="1"/>
          <w:i w:val="1"/>
        </w:rPr>
        <w:t>Подраздел «Топливно-энергетический комплекс»</w:t>
      </w:r>
    </w:p>
    <w:p w14:paraId="CC010000">
      <w:pPr>
        <w:ind w:firstLine="709" w:left="0"/>
        <w:jc w:val="both"/>
      </w:pPr>
      <w:r>
        <w:t>В рамках данного подраздела бюджетные ассигнования будут направлены на предоставление субсидий юридическим лицам и индивидуальным предпринимателям на мероприятия по предоставлению субсидий на поддержку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в 2026 году – 48,5 млн рублей, в том числе за счет средств федерального бюджета 41,7 млн рублей.</w:t>
      </w:r>
    </w:p>
    <w:p w14:paraId="CD010000">
      <w:pPr>
        <w:ind w:firstLine="709" w:left="0"/>
        <w:jc w:val="both"/>
      </w:pPr>
    </w:p>
    <w:p w14:paraId="CE010000">
      <w:pPr>
        <w:pStyle w:val="Style_7"/>
        <w:spacing w:after="0" w:before="0"/>
        <w:ind w:firstLine="709" w:left="0"/>
        <w:jc w:val="both"/>
        <w:rPr>
          <w:rFonts w:ascii="Times New Roman" w:hAnsi="Times New Roman"/>
          <w:i w:val="1"/>
          <w:sz w:val="28"/>
        </w:rPr>
      </w:pPr>
      <w:r>
        <w:rPr>
          <w:rFonts w:ascii="Times New Roman" w:hAnsi="Times New Roman"/>
          <w:i w:val="1"/>
          <w:sz w:val="28"/>
        </w:rPr>
        <w:t xml:space="preserve">Подраздел «Воспроизводство минерально-сырьевой базы» </w:t>
      </w:r>
    </w:p>
    <w:p w14:paraId="CF010000">
      <w:pPr>
        <w:ind w:firstLine="709" w:left="0"/>
        <w:jc w:val="both"/>
      </w:pPr>
      <w:r>
        <w:t>В рамках данного подраздела планируется направить средства на выполнение мероприятий по созданию условий для повышения эффективности использования недр и проведение государственной экспертизы запасов общераспространенных полезных ископаемых и подземных вод, геологической информации о предоставляемых в пользование участках недр местного значения, а также на создание и ведение территориального фонда геологической информации Ростовской области в 2025-2027 годах по 1,5 млн рублей ежегодно.</w:t>
      </w:r>
    </w:p>
    <w:p w14:paraId="D0010000">
      <w:pPr>
        <w:ind/>
        <w:jc w:val="both"/>
      </w:pPr>
    </w:p>
    <w:p w14:paraId="D1010000">
      <w:pPr>
        <w:pStyle w:val="Style_7"/>
        <w:spacing w:after="0" w:before="0"/>
        <w:ind w:firstLine="709" w:left="0"/>
        <w:jc w:val="both"/>
        <w:rPr>
          <w:rFonts w:ascii="Times New Roman" w:hAnsi="Times New Roman"/>
          <w:i w:val="1"/>
          <w:sz w:val="28"/>
        </w:rPr>
      </w:pPr>
      <w:r>
        <w:rPr>
          <w:rFonts w:ascii="Times New Roman" w:hAnsi="Times New Roman"/>
          <w:i w:val="1"/>
          <w:sz w:val="28"/>
        </w:rPr>
        <w:t xml:space="preserve">Подраздел «Сельское хозяйство и рыболовство» </w:t>
      </w:r>
    </w:p>
    <w:p w14:paraId="D2010000">
      <w:pPr>
        <w:widowControl w:val="0"/>
        <w:ind w:firstLine="709" w:left="0"/>
        <w:jc w:val="both"/>
      </w:pPr>
      <w:r>
        <w:rPr>
          <w:spacing w:val="-1"/>
        </w:rPr>
        <w:t xml:space="preserve">На развитие отраслей агропромышленного комплекса </w:t>
      </w:r>
      <w:r>
        <w:t>планируется направить в 2025 году – 4 604,6 млн рублей, в 2026 году – 4 660,8 млн рублей, в 2027 году без учета средств федерального бюджета – 2 523,5 млн рублей.</w:t>
      </w:r>
    </w:p>
    <w:p w14:paraId="D3010000">
      <w:pPr>
        <w:widowControl w:val="0"/>
        <w:ind w:firstLine="709" w:left="0"/>
        <w:jc w:val="both"/>
        <w:rPr>
          <w:spacing w:val="-1"/>
        </w:rPr>
      </w:pPr>
      <w:r>
        <w:rPr>
          <w:spacing w:val="-1"/>
        </w:rPr>
        <w:t>Поддержка агропромышленного комплекса в основном осуществляется в форме предоставления субсидий сельскохозяйственным товаропроизводителям Ростовской области.</w:t>
      </w:r>
    </w:p>
    <w:p w14:paraId="D4010000">
      <w:pPr>
        <w:ind w:firstLine="709" w:left="0"/>
        <w:jc w:val="both"/>
      </w:pPr>
      <w:r>
        <w:rPr>
          <w:spacing w:val="-1"/>
        </w:rPr>
        <w:t>Н</w:t>
      </w:r>
      <w:r>
        <w:t xml:space="preserve">а </w:t>
      </w:r>
      <w:r>
        <w:rPr>
          <w:spacing w:val="-1"/>
        </w:rPr>
        <w:t xml:space="preserve">развитие растениеводства планируется направить средства областного бюджета в объеме </w:t>
      </w:r>
      <w:r>
        <w:t>2 229,5 млн рублей в 2025 году, 2 263,4 млн рублей в 2026 году, 781,0 млн рублей в 2027 году.</w:t>
      </w:r>
    </w:p>
    <w:p w14:paraId="D5010000">
      <w:pPr>
        <w:ind w:firstLine="709" w:left="0"/>
        <w:jc w:val="both"/>
        <w:outlineLvl w:val="0"/>
      </w:pPr>
      <w:r>
        <w:t xml:space="preserve">Данные ассигнования запланированы на предоставление </w:t>
      </w:r>
      <w:r>
        <w:rPr>
          <w:spacing w:val="-1"/>
        </w:rPr>
        <w:t>сельскохозяйственным товаропроизводителям</w:t>
      </w:r>
      <w:r>
        <w:t xml:space="preserve"> субсидий </w:t>
      </w:r>
      <w:r>
        <w:t>на</w:t>
      </w:r>
      <w:r>
        <w:t>:</w:t>
      </w:r>
    </w:p>
    <w:p w14:paraId="D6010000">
      <w:pPr>
        <w:ind w:firstLine="709" w:left="0"/>
        <w:jc w:val="both"/>
        <w:outlineLvl w:val="0"/>
      </w:pPr>
      <w:r>
        <w:t>производство и реализацию зерновых культур в 2025 году – 1 171,0 млн рублей, в 2026 году – 1 157,4 млн рублей, в 2027 году – 162,0 млн рублей;</w:t>
      </w:r>
    </w:p>
    <w:p w14:paraId="D7010000">
      <w:pPr>
        <w:ind w:firstLine="709" w:left="0"/>
        <w:jc w:val="both"/>
      </w:pPr>
      <w:r>
        <w:t>приобретение и внесение фосфорсодержащих удобрений под пар и (или) зябь в 2025 году – 441,1 млн рублей, в 2026 и 2027 годах по 450,0 млн рублей ежегодно;</w:t>
      </w:r>
    </w:p>
    <w:p w14:paraId="D8010000">
      <w:pPr>
        <w:ind w:firstLine="709" w:left="0"/>
        <w:jc w:val="both"/>
      </w:pPr>
      <w:r>
        <w:t>поддержку элитного семеноводства в 2025 году – 153,7 млн рублей, в 2026 году – 164,2 млн рублей, в 2027 году – 23,0 млн рублей;</w:t>
      </w:r>
    </w:p>
    <w:p w14:paraId="D9010000">
      <w:pPr>
        <w:ind w:firstLine="709" w:left="0"/>
        <w:jc w:val="both"/>
      </w:pPr>
      <w:r>
        <w:t>уплату страховых премий, начисленных по договорам сельскохозяйственного страхования в области растениеводства, в 2025 году – 140,8 млн рублей, в 2026 году – 152,3 млн рублей, в 2027 году – 21,3 млн рублей;</w:t>
      </w:r>
    </w:p>
    <w:p w14:paraId="DA010000">
      <w:pPr>
        <w:ind w:firstLine="709" w:left="0"/>
        <w:jc w:val="both"/>
      </w:pPr>
      <w:r>
        <w:t xml:space="preserve">поддержку проведения </w:t>
      </w:r>
      <w:r>
        <w:t>агротехнологических</w:t>
      </w:r>
      <w:r>
        <w:t xml:space="preserve"> работ, повышение уровня экологической безопасности сельскохозяйственного производства, а также повышение плодородия и качества почв, в 2025 году – 126,8 млн рублей, в 2026 году – 135,5 млн рублей, в 2027 году – 19,0 млн рублей;</w:t>
      </w:r>
    </w:p>
    <w:p w14:paraId="DB010000">
      <w:pPr>
        <w:ind w:firstLine="709" w:left="0"/>
        <w:jc w:val="both"/>
        <w:outlineLvl w:val="0"/>
      </w:pPr>
      <w:r>
        <w:t>закладку многолетних насаждений (кроме виноградников), за исключением питомников и (или) на раскорчевку выбывших из эксплуатации многолетних насаждений, в 2025 году – 72,3 млн рублей, в 2026 году – 80,7 млн рублей, в 2027 году – 11,3 млн рублей;</w:t>
      </w:r>
    </w:p>
    <w:p w14:paraId="DC010000">
      <w:pPr>
        <w:ind w:firstLine="709" w:left="0"/>
        <w:jc w:val="both"/>
      </w:pPr>
      <w:r>
        <w:t>компенсацию части стоимости агрохимического обследования пашни в 2025 и 2026 годах по 45,8 млн рублей ежегодно, в 2027 году – 53,9 млн рублей;</w:t>
      </w:r>
    </w:p>
    <w:p w14:paraId="DD010000">
      <w:pPr>
        <w:ind w:firstLine="709" w:left="0"/>
        <w:jc w:val="both"/>
        <w:outlineLvl w:val="0"/>
      </w:pPr>
      <w:r>
        <w:t>поддержку сельскохозяйственного производства и семеноводства (гранты в форме субсидий научным организациям, профессиональным образовательным организациям, образовательным организациям высшего образования) в 2025-2027 годах по 34,5 млн рублей ежегодно;</w:t>
      </w:r>
    </w:p>
    <w:p w14:paraId="DE010000">
      <w:pPr>
        <w:ind w:firstLine="709" w:left="0"/>
        <w:jc w:val="both"/>
        <w:outlineLvl w:val="0"/>
      </w:pPr>
      <w:r>
        <w:t>закладку питомников (кроме виноградников) в 2025 году – 31,8 млн рублей, в 2026 году – 31,4 млн рублей, в 2027 году – 4,4 млн рублей;</w:t>
      </w:r>
    </w:p>
    <w:p w14:paraId="DF010000">
      <w:pPr>
        <w:ind w:firstLine="709" w:left="0"/>
        <w:jc w:val="both"/>
        <w:outlineLvl w:val="0"/>
      </w:pPr>
      <w:r>
        <w:t>уход за многолетними насаждениями (кроме виноградников), включая питомники, в 2025 году – 11,7 млн рублей, в 2026 году – 11,6 млн рублей, в 2027 году – 1,6 млн рублей.</w:t>
      </w:r>
    </w:p>
    <w:p w14:paraId="E0010000">
      <w:pPr>
        <w:ind w:firstLine="709" w:left="0"/>
        <w:jc w:val="both"/>
      </w:pPr>
      <w:r>
        <w:rPr>
          <w:spacing w:val="-1"/>
        </w:rPr>
        <w:t>Н</w:t>
      </w:r>
      <w:r>
        <w:t xml:space="preserve">а </w:t>
      </w:r>
      <w:r>
        <w:rPr>
          <w:spacing w:val="-1"/>
        </w:rPr>
        <w:t xml:space="preserve">развитие животноводства планируется направить средства областного бюджета в объеме </w:t>
      </w:r>
      <w:r>
        <w:t>1 141,4 млн рублей в 2025 году, 1 162,1 млн рублей в 2026 году, 861,1 млн рублей в 2027 году.</w:t>
      </w:r>
    </w:p>
    <w:p w14:paraId="E1010000">
      <w:pPr>
        <w:ind w:firstLine="709" w:left="0"/>
        <w:jc w:val="both"/>
        <w:outlineLvl w:val="0"/>
      </w:pPr>
      <w:r>
        <w:t xml:space="preserve">Данные ассигнования запланированы на предоставление </w:t>
      </w:r>
      <w:r>
        <w:rPr>
          <w:spacing w:val="-1"/>
        </w:rPr>
        <w:t>сельскохозяйственным товаропроизводителям</w:t>
      </w:r>
      <w:r>
        <w:t xml:space="preserve"> субсидий </w:t>
      </w:r>
      <w:r>
        <w:t>на</w:t>
      </w:r>
      <w:r>
        <w:t>:</w:t>
      </w:r>
    </w:p>
    <w:p w14:paraId="E2010000">
      <w:pPr>
        <w:ind w:firstLine="709" w:left="0"/>
        <w:jc w:val="both"/>
      </w:pPr>
      <w:r>
        <w:t xml:space="preserve">приобретение кормов и (или) комбикормов, и (или) их компонентов для отдельных </w:t>
      </w:r>
      <w:r>
        <w:t>подотраслей</w:t>
      </w:r>
      <w:r>
        <w:t xml:space="preserve"> животноводства в 2025-2027 годах по 300,0 млн рублей ежегодно;</w:t>
      </w:r>
    </w:p>
    <w:p w14:paraId="E3010000">
      <w:pPr>
        <w:ind w:firstLine="709" w:left="0"/>
        <w:jc w:val="both"/>
      </w:pPr>
      <w:r>
        <w:t>поддержку производства молока в 2025 году – 227,7 млн рублей, в 2026 году – 243,4 млн рублей, в 2027 году – 34,1 млн рублей;</w:t>
      </w:r>
    </w:p>
    <w:p w14:paraId="E4010000">
      <w:pPr>
        <w:ind w:firstLine="709" w:left="0"/>
        <w:jc w:val="both"/>
      </w:pPr>
      <w:r>
        <w:t>поддержку молочного животноводства в 2025-2027 годах по 167,0 млн рублей ежегодно;</w:t>
      </w:r>
    </w:p>
    <w:p w14:paraId="E5010000">
      <w:pPr>
        <w:ind w:firstLine="709" w:left="0"/>
        <w:jc w:val="both"/>
      </w:pPr>
      <w:r>
        <w:t>производство мяса крупного и (или) мелкого рогатого скота, реализованного на перерабатывающие предприятия Ростовской области, в 2025-2027 годах по 99,1 млн рублей ежегодно;</w:t>
      </w:r>
    </w:p>
    <w:p w14:paraId="E6010000">
      <w:pPr>
        <w:ind w:firstLine="709" w:left="0"/>
        <w:jc w:val="both"/>
      </w:pPr>
      <w:r>
        <w:t>развитие животноводства, за исключением племенных животных,                  в 2025-2027 годах по 96,0 млн рублей ежегодно;</w:t>
      </w:r>
    </w:p>
    <w:p w14:paraId="E7010000">
      <w:pPr>
        <w:ind w:firstLine="709" w:left="0"/>
        <w:jc w:val="both"/>
      </w:pPr>
      <w:r>
        <w:t>приобретение племенного молодняка крупного рогатого скота молочного направления, в том числе по импорту, и (или) эмбрионов отечественной селекции в 2025-2027 годах по 90,0 млн рублей ежегодно;</w:t>
      </w:r>
    </w:p>
    <w:p w14:paraId="E8010000">
      <w:pPr>
        <w:ind w:firstLine="709" w:left="0"/>
        <w:jc w:val="both"/>
      </w:pPr>
      <w:r>
        <w:t>приобретение племенного молодняка сельскохозяйственных животных в 2026 году – 83,4 млн рублей;</w:t>
      </w:r>
    </w:p>
    <w:p w14:paraId="E9010000">
      <w:pPr>
        <w:ind w:firstLine="709" w:left="0"/>
        <w:jc w:val="both"/>
      </w:pPr>
      <w:r>
        <w:t>поддержку племенного маточного поголовья сельскохозяйственных животных в 2025 году – 78,1 млн рублей, в 2027 году – 11,6 млн рублей;</w:t>
      </w:r>
    </w:p>
    <w:p w14:paraId="EA010000">
      <w:pPr>
        <w:ind w:firstLine="709" w:left="0"/>
        <w:jc w:val="both"/>
      </w:pPr>
      <w:r>
        <w:t>приобретение оборудования, машин и механизмов для молочного скотоводства в 2025-2027 годах по 36,0 млн рублей ежегодно;</w:t>
      </w:r>
    </w:p>
    <w:p w14:paraId="EB010000">
      <w:pPr>
        <w:ind w:firstLine="709" w:left="0"/>
        <w:jc w:val="both"/>
      </w:pPr>
      <w:r>
        <w:t>поддержку производства шерсти, полученной от тонкорунных и полутонкорунных пород овец, в 2025-2027 годах по 24,0 млн рублей ежегодно;</w:t>
      </w:r>
    </w:p>
    <w:p w14:paraId="EC010000">
      <w:pPr>
        <w:ind w:firstLine="709" w:left="0"/>
        <w:jc w:val="both"/>
      </w:pPr>
      <w:r>
        <w:t>уплату страховых премий, начисленных по договорам сельскохозяйственного страхования в области животноводства, в 2025 году – 23,5 млн рублей, в 2026 году – 23,2 млн рублей, в 2027 году – 3,3 млн рублей.</w:t>
      </w:r>
    </w:p>
    <w:p w14:paraId="ED010000">
      <w:pPr>
        <w:ind w:firstLine="709" w:left="0"/>
        <w:jc w:val="both"/>
      </w:pPr>
      <w:r>
        <w:t>На поддержку сельскохозяйственных товаропроизводителей</w:t>
      </w:r>
      <w:r>
        <w:rPr>
          <w:spacing w:val="-1"/>
        </w:rPr>
        <w:t xml:space="preserve"> области,</w:t>
      </w:r>
      <w:r>
        <w:t xml:space="preserve"> приобретающих сельскохозяйственную технику отечественного производства, законопроектом предусмотрено в 2025 году – 226,5 млн рублей, в 2026 и 2027 годах по 235,5 млн рублей.</w:t>
      </w:r>
    </w:p>
    <w:p w14:paraId="EE010000">
      <w:pPr>
        <w:ind w:firstLine="709" w:left="0"/>
        <w:jc w:val="both"/>
      </w:pPr>
      <w:r>
        <w:rPr>
          <w:spacing w:val="-1"/>
        </w:rPr>
        <w:t xml:space="preserve">На поддержку </w:t>
      </w:r>
      <w:r>
        <w:t>сельскохозяйственных товаропроизводителей</w:t>
      </w:r>
      <w:r>
        <w:rPr>
          <w:spacing w:val="-1"/>
        </w:rPr>
        <w:t xml:space="preserve"> области, осуществляющих деятельность в пищевой и перерабатывающей промышленности, планируется направить </w:t>
      </w:r>
      <w:r>
        <w:t>в 2025 году – 308,2 млн рублей, в 2026 году – 313,3 млн рублей, в 2027 году – 244,6 млн рублей.</w:t>
      </w:r>
    </w:p>
    <w:p w14:paraId="EF010000">
      <w:pPr>
        <w:ind w:firstLine="709" w:left="0"/>
        <w:jc w:val="both"/>
      </w:pPr>
      <w:r>
        <w:rPr>
          <w:spacing w:val="-1"/>
        </w:rPr>
        <w:t xml:space="preserve">На стимулирование инвестиционной деятельности в агропромышленном комплексе будет направлено </w:t>
      </w:r>
      <w:r>
        <w:t>в 2025 году – 66,2 млн рублей, в 2026 году – 104,9</w:t>
      </w:r>
      <w:r>
        <w:t> </w:t>
      </w:r>
      <w:r>
        <w:t>млн рублей, в 2027 году – 79,4 млн рублей.</w:t>
      </w:r>
    </w:p>
    <w:p w14:paraId="F0010000">
      <w:pPr>
        <w:ind w:firstLine="709" w:left="0"/>
        <w:jc w:val="both"/>
      </w:pPr>
      <w:r>
        <w:t xml:space="preserve">На поддержку организаций и индивидуальных предпринимателей, осуществляющих </w:t>
      </w:r>
      <w:r>
        <w:t>аквакультуру</w:t>
      </w:r>
      <w:r>
        <w:t xml:space="preserve"> (рыбоводство) и (или) переработку водных биологических ресурсов, в 2025-2027 годах предусматривается по 115,8 млн рублей ежегодно.</w:t>
      </w:r>
    </w:p>
    <w:p w14:paraId="F1010000">
      <w:pPr>
        <w:ind w:firstLine="709" w:left="0"/>
        <w:jc w:val="both"/>
      </w:pPr>
      <w:r>
        <w:t>В целях предоставления грантов «</w:t>
      </w:r>
      <w:r>
        <w:t>Агропрогресс</w:t>
      </w:r>
      <w:r>
        <w:t>», грантов на развитие сельского туризма, семейных ферм и материально-технической базы сельскохозяйственных потребительских кооперативов запланированы бюджетные ассигнования в 2025 году – 145,6 млн рублей, в 2026 году – 150,4 млн рублей, в 2027 году – 44,7 млн рублей.</w:t>
      </w:r>
    </w:p>
    <w:p w14:paraId="F2010000">
      <w:pPr>
        <w:ind w:firstLine="709" w:left="0"/>
        <w:jc w:val="both"/>
        <w:rPr>
          <w:color w:themeColor="text1" w:val="000000"/>
        </w:rPr>
      </w:pPr>
      <w:r>
        <w:rPr>
          <w:color w:themeColor="text1" w:val="000000"/>
        </w:rPr>
        <w:t>На реализацию мероприятий по э</w:t>
      </w:r>
      <w:r>
        <w:t>ффективному вовлечению в оборот земель сельскохозяйственного назначения и развитие мелиоративного комплекса Ростовской области из областного бю</w:t>
      </w:r>
      <w:r>
        <w:rPr>
          <w:color w:themeColor="text1" w:val="000000"/>
        </w:rPr>
        <w:t>джета планируется направить в 2025 году –200,8 млн рублей, в 2026 году – 131,9 млн рублей, в 2027 году – 122,2 млн рублей.</w:t>
      </w:r>
    </w:p>
    <w:p w14:paraId="F3010000">
      <w:pPr>
        <w:ind w:firstLine="709" w:left="0"/>
        <w:jc w:val="both"/>
        <w:outlineLvl w:val="0"/>
      </w:pPr>
      <w:r>
        <w:t xml:space="preserve">Данные ассигнования предусмотрены </w:t>
      </w:r>
      <w:r>
        <w:t>на</w:t>
      </w:r>
      <w:r>
        <w:t>:</w:t>
      </w:r>
    </w:p>
    <w:p w14:paraId="F4010000">
      <w:pPr>
        <w:ind w:firstLine="709" w:left="0"/>
        <w:jc w:val="both"/>
        <w:outlineLvl w:val="0"/>
      </w:pPr>
      <w:r>
        <w:t>создание системы агроэкологического районирования территорий сельских (городских) поселений на основе адаптивно-ландшафтного подхода и разработке систем земледелия в 2025 году – 71,5 млн рублей;</w:t>
      </w:r>
    </w:p>
    <w:p w14:paraId="F5010000">
      <w:pPr>
        <w:ind w:firstLine="709" w:left="0"/>
        <w:jc w:val="both"/>
        <w:outlineLvl w:val="0"/>
      </w:pPr>
      <w:r>
        <w:t>проведение агротехнических работ по посеву многолетних трав                      в 2025-2027 годах по 50,0 млн рублей ежегодно;</w:t>
      </w:r>
    </w:p>
    <w:p w14:paraId="F6010000">
      <w:pPr>
        <w:ind w:firstLine="709" w:left="0"/>
        <w:jc w:val="both"/>
        <w:outlineLvl w:val="0"/>
      </w:pPr>
      <w:r>
        <w:t>оплату услуг по подаче воды для орошения и (или) затрат на оплату электроэнергии, потребляемой внутрихозяйственными насосными станциями при подаче воды для орошения сельскохозяйственных культур, в 2025-2027 годах по 43,6 млн рублей ежегодно;</w:t>
      </w:r>
    </w:p>
    <w:p w14:paraId="F7010000">
      <w:pPr>
        <w:ind w:firstLine="709" w:left="0"/>
        <w:jc w:val="both"/>
        <w:outlineLvl w:val="0"/>
      </w:pPr>
      <w:r>
        <w:t xml:space="preserve">текущий ремонт и планировку оросительных систем, расчистку коллекторно-дренажной сети, приобретение и доставку </w:t>
      </w:r>
      <w:r>
        <w:t>фосфогипса</w:t>
      </w:r>
      <w:r>
        <w:t>, приобретение гербицидов, ленты капельного орошения в 2025-2027 годах по 27,0 млн рублей ежегодно;</w:t>
      </w:r>
    </w:p>
    <w:p w14:paraId="F8010000">
      <w:pPr>
        <w:ind w:firstLine="709" w:left="0"/>
        <w:jc w:val="both"/>
        <w:outlineLvl w:val="0"/>
      </w:pPr>
      <w:r>
        <w:t xml:space="preserve">проведение гидромелиоративных, </w:t>
      </w:r>
      <w:r>
        <w:t>культуртехнических</w:t>
      </w:r>
      <w:r>
        <w:t xml:space="preserve">, </w:t>
      </w:r>
      <w:r>
        <w:t>агролесомелиоративных</w:t>
      </w:r>
      <w:r>
        <w:t xml:space="preserve"> и фитомелиоративных мероприятий, а также мероприятий в области известкования кислых почв на пашне, в 2025 году – 8,7 млн рублей, в 2026 году – 11,3 млн рублей, в 2027 году – 1,6 млн рублей.</w:t>
      </w:r>
    </w:p>
    <w:p w14:paraId="F9010000">
      <w:pPr>
        <w:ind w:firstLine="709" w:left="0"/>
        <w:jc w:val="both"/>
        <w:outlineLvl w:val="4"/>
      </w:pPr>
      <w:r>
        <w:t>По данному подразделу также запланированы бюджетные ассигнования на стимулирование увеличения производства картофеля и овощей в 2025 году – 106,6 млн рублей, в 2026 году – 119,5 млн рублей, в 2027 году – 16,7 млн рублей.</w:t>
      </w:r>
    </w:p>
    <w:p w14:paraId="FA010000">
      <w:pPr>
        <w:ind w:firstLine="709" w:left="0"/>
        <w:jc w:val="both"/>
        <w:outlineLvl w:val="0"/>
      </w:pPr>
      <w:r>
        <w:t xml:space="preserve">Указанные средства запланированы </w:t>
      </w:r>
      <w:r>
        <w:t>на</w:t>
      </w:r>
      <w:r>
        <w:t>:</w:t>
      </w:r>
    </w:p>
    <w:p w14:paraId="FB010000">
      <w:pPr>
        <w:ind w:firstLine="709" w:left="0"/>
        <w:jc w:val="both"/>
        <w:outlineLvl w:val="0"/>
      </w:pPr>
      <w:r>
        <w:t>повышение плодородия и качества почв на посевной площади, занятой картофелем, в 2025 году – 9,2 млн рублей, в 2026 году – 10,3 млн рублей, в 2027 году – 1,4 млн рублей;</w:t>
      </w:r>
    </w:p>
    <w:p w14:paraId="FC010000">
      <w:pPr>
        <w:ind w:firstLine="709" w:left="0"/>
        <w:jc w:val="both"/>
        <w:outlineLvl w:val="0"/>
      </w:pPr>
      <w:r>
        <w:t>повышение плодородия и качества почв на посевной площади, занятой овощными культурами открытого грунта, в 2025 году – 9,2 млн рублей, в 2026 году – 10,3 млн рублей, в 2027 году – 1,4 млн рублей;</w:t>
      </w:r>
    </w:p>
    <w:p w14:paraId="FD010000">
      <w:pPr>
        <w:ind w:firstLine="709" w:left="0"/>
        <w:jc w:val="both"/>
        <w:outlineLvl w:val="0"/>
      </w:pPr>
      <w:r>
        <w:t>поддержку элитного семеноводства (картофеля) в 2025 году – 23,2 млн рублей, в 2026 году – 26,0 млн рублей, в 2027 году – 3,6 млн рублей;</w:t>
      </w:r>
    </w:p>
    <w:p w14:paraId="FE010000">
      <w:pPr>
        <w:ind w:firstLine="709" w:left="0"/>
        <w:jc w:val="both"/>
        <w:outlineLvl w:val="0"/>
      </w:pPr>
      <w:r>
        <w:t xml:space="preserve">производство овощей защищенного грунта, произведенных с применением технологии </w:t>
      </w:r>
      <w:r>
        <w:t>досвечивания</w:t>
      </w:r>
      <w:r>
        <w:t>, в 2025 году – 5,6 млн рублей, в 2026 году – 6,2 млн рублей, в 2027 году – 0,9 млн рублей;</w:t>
      </w:r>
    </w:p>
    <w:p w14:paraId="FF010000">
      <w:pPr>
        <w:ind w:firstLine="709" w:left="0"/>
        <w:jc w:val="both"/>
        <w:outlineLvl w:val="0"/>
      </w:pPr>
      <w:r>
        <w:t>поддержку производства картофеля в 2025 году – 29,7 млн рублей, в 2026 году – 33,4 млн рублей, в 2027 году – 4,7 млн рублей;</w:t>
      </w:r>
    </w:p>
    <w:p w14:paraId="00020000">
      <w:pPr>
        <w:ind w:firstLine="709" w:left="0"/>
        <w:jc w:val="both"/>
        <w:outlineLvl w:val="0"/>
      </w:pPr>
      <w:r>
        <w:t>поддержку производства овощей открытого грунта в 2025 году – 29,7 млн рублей, в 2026 году – 33,3 млн рублей, в 2027 году – 4,7 млн рублей.</w:t>
      </w:r>
    </w:p>
    <w:p w14:paraId="01020000">
      <w:pPr>
        <w:ind w:firstLine="709" w:left="0"/>
        <w:jc w:val="both"/>
        <w:outlineLvl w:val="0"/>
      </w:pPr>
      <w:r>
        <w:t>На развитие виноградарства и виноделия учтено по 54,2 млн рублей в 2025 и 2026 годах ежегодно, 12,7 млн рублей в 2027 году.</w:t>
      </w:r>
    </w:p>
    <w:p w14:paraId="02020000">
      <w:pPr>
        <w:ind w:firstLine="709" w:left="0"/>
        <w:jc w:val="both"/>
        <w:outlineLvl w:val="0"/>
      </w:pPr>
      <w:r>
        <w:t xml:space="preserve">Указанные ассигнования запланированы на предоставление субъектам виноградарства и виноделия субсидий </w:t>
      </w:r>
      <w:r>
        <w:t>на</w:t>
      </w:r>
      <w:r>
        <w:t>:</w:t>
      </w:r>
    </w:p>
    <w:p w14:paraId="03020000">
      <w:pPr>
        <w:ind w:firstLine="709" w:left="0"/>
        <w:jc w:val="both"/>
        <w:outlineLvl w:val="0"/>
      </w:pPr>
      <w:r>
        <w:t>закладку виноградников в 2025 и 2026 годах по 29,0 млн рублей ежегодно, в 2027 году – 4,1 млн рублей;</w:t>
      </w:r>
    </w:p>
    <w:p w14:paraId="04020000">
      <w:pPr>
        <w:ind w:firstLine="709" w:left="0"/>
        <w:jc w:val="both"/>
        <w:outlineLvl w:val="0"/>
      </w:pPr>
      <w:r>
        <w:t>уходные</w:t>
      </w:r>
      <w:r>
        <w:t xml:space="preserve"> работы на виноградниках в плодоносящем возрасте в 2025 и 2026 годах по 19,3 млн рублей ежегодно, в 2027 году – 2,7 млн рублей;</w:t>
      </w:r>
    </w:p>
    <w:p w14:paraId="05020000">
      <w:pPr>
        <w:ind w:firstLine="709" w:left="0"/>
        <w:jc w:val="both"/>
        <w:outlineLvl w:val="0"/>
      </w:pPr>
      <w:r>
        <w:t xml:space="preserve">проведение </w:t>
      </w:r>
      <w:r>
        <w:t>уходных</w:t>
      </w:r>
      <w:r>
        <w:t xml:space="preserve"> работ на виноградниках автохтонных сортов в плодоносящем возрасте в 2025-2027 годах по 5,9 млн рублей.</w:t>
      </w:r>
    </w:p>
    <w:p w14:paraId="06020000">
      <w:pPr>
        <w:ind w:firstLine="709" w:left="0"/>
        <w:jc w:val="both"/>
        <w:outlineLvl w:val="0"/>
      </w:pPr>
      <w:r>
        <w:t xml:space="preserve">Кроме того, бюджетные ассигнования планируется направить </w:t>
      </w:r>
      <w:r>
        <w:t>на</w:t>
      </w:r>
      <w:r>
        <w:t>:</w:t>
      </w:r>
    </w:p>
    <w:p w14:paraId="07020000">
      <w:pPr>
        <w:ind w:firstLine="709" w:left="0"/>
        <w:jc w:val="both"/>
      </w:pPr>
      <w:r>
        <w:t>финансовое обеспечение деятельности министерства сельского хозяйства и продовольствия Ростовской области, управления ветеринарии Ростовской области в 2025 году – 361,3 млн рублей, в 2026 году – 375,1 млн рублей, в 2027 году – 389,4 млн рублей;</w:t>
      </w:r>
    </w:p>
    <w:p w14:paraId="08020000">
      <w:pPr>
        <w:spacing w:line="228" w:lineRule="auto"/>
        <w:ind w:firstLine="709" w:left="0"/>
        <w:jc w:val="both"/>
        <w:outlineLvl w:val="0"/>
      </w:pPr>
      <w:r>
        <w:t>финансовое обеспечение выполнения государственных заданий государственными бюджетными учреждениями, подведомственными управлению ветеринарии Ростовской области, в 2025 году – 547,8 млн рублей, в 2026 году – 554,6 млн рублей, в 2027 году – 563,0 млн рублей;</w:t>
      </w:r>
    </w:p>
    <w:p w14:paraId="09020000">
      <w:pPr>
        <w:spacing w:line="228" w:lineRule="auto"/>
        <w:ind w:firstLine="709" w:left="0"/>
        <w:jc w:val="both"/>
        <w:outlineLvl w:val="0"/>
      </w:pPr>
      <w:r>
        <w:t>финансовое обеспечение выполнения государственного задания государственному бюджетному учреждению Ростовской области «Управление мелиоративными защитными лесными насаждениями Ростовской области» в 2025 году – 17,9 млн рублей, в 2026 году – 18,5 млн рублей, в 2027 году – 19,1 млн рублей;</w:t>
      </w:r>
    </w:p>
    <w:p w14:paraId="0A020000">
      <w:pPr>
        <w:spacing w:line="228" w:lineRule="auto"/>
        <w:ind w:firstLine="709" w:left="0"/>
        <w:jc w:val="both"/>
      </w:pPr>
      <w:r>
        <w:rPr>
          <w:color w:themeColor="text1" w:val="000000"/>
        </w:rPr>
        <w:t xml:space="preserve">развитие и сопровождение цифровой </w:t>
      </w:r>
      <w:r>
        <w:rPr>
          <w:color w:themeColor="text1" w:val="000000"/>
        </w:rPr>
        <w:t>инфраструктуры</w:t>
      </w:r>
      <w:r>
        <w:rPr>
          <w:color w:themeColor="text1" w:val="000000"/>
        </w:rPr>
        <w:t xml:space="preserve"> и защиту информации</w:t>
      </w:r>
      <w:r>
        <w:t xml:space="preserve"> министерства сельского хозяйства и продовольствия Ростовской области, управления ветеринарии Ростовской области в 2025-2027 годах в сумме 3,9 млн рублей ежегодно;</w:t>
      </w:r>
    </w:p>
    <w:p w14:paraId="0B020000">
      <w:pPr>
        <w:spacing w:line="228" w:lineRule="auto"/>
        <w:ind w:firstLine="709" w:left="0"/>
        <w:jc w:val="both"/>
      </w:pPr>
      <w:r>
        <w:t>предоставление субвенций бюджетам муниципальных районов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(145 штатных единиц) в 2025 году – 106,3  млн рублей, в 2026 году – 110,4  млн рублей, в 2027 году – 114,6 млн рублей;</w:t>
      </w:r>
    </w:p>
    <w:p w14:paraId="0C020000">
      <w:pPr>
        <w:spacing w:line="228" w:lineRule="auto"/>
        <w:ind w:firstLine="709" w:left="0"/>
        <w:jc w:val="both"/>
        <w:outlineLvl w:val="0"/>
      </w:pPr>
      <w:r>
        <w:t>проведение противоэпизоотических мероприятий в 2025-2027 годах по 75,7 млн рублей ежегодно;</w:t>
      </w:r>
    </w:p>
    <w:p w14:paraId="0D020000">
      <w:pPr>
        <w:spacing w:line="228" w:lineRule="auto"/>
        <w:ind w:firstLine="709" w:left="0"/>
        <w:jc w:val="both"/>
      </w:pPr>
      <w:r>
        <w:t>оздоровление крупного рогатого скота от лейкоза в 2025-2027 годах по 19,5 млн рублей ежегодно;</w:t>
      </w:r>
    </w:p>
    <w:p w14:paraId="0E020000">
      <w:pPr>
        <w:spacing w:line="228" w:lineRule="auto"/>
        <w:ind w:firstLine="709" w:left="0"/>
        <w:jc w:val="both"/>
        <w:outlineLvl w:val="0"/>
      </w:pPr>
      <w:r>
        <w:t>предотвращение заноса, распространения и ликвидация африканской чумы свиней на территории Ростовской области в 2025-2027 годах по 8,4 млн рублей ежегодно;</w:t>
      </w:r>
    </w:p>
    <w:p w14:paraId="0F020000">
      <w:pPr>
        <w:spacing w:line="228" w:lineRule="auto"/>
        <w:ind w:firstLine="709" w:left="0"/>
        <w:jc w:val="both"/>
        <w:outlineLvl w:val="2"/>
      </w:pPr>
      <w:r>
        <w:t>проведение аккредитации и (или) подтверждение компетентности ветеринарных лабораторий в виде субсидий на иные цели государственным бюджетным учреждениям, подведомственным управлению ветеринарии Ростовской области, в 2025-2027 годах по 1,2 млн рублей ежегодно;</w:t>
      </w:r>
    </w:p>
    <w:p w14:paraId="10020000">
      <w:pPr>
        <w:spacing w:line="228" w:lineRule="auto"/>
        <w:ind w:firstLine="709" w:left="0"/>
        <w:jc w:val="both"/>
        <w:outlineLvl w:val="0"/>
      </w:pPr>
      <w:r>
        <w:t>выплаты вознаграждений охотникам за добычу охотничьих ресурсов в целях регулирования их численности на территории Ростовской области             в 2025-2027 годах по 2,0 млн рублей ежегодно.</w:t>
      </w:r>
    </w:p>
    <w:p w14:paraId="11020000">
      <w:pPr>
        <w:spacing w:line="228" w:lineRule="auto"/>
        <w:ind/>
        <w:jc w:val="both"/>
      </w:pPr>
    </w:p>
    <w:p w14:paraId="12020000">
      <w:pPr>
        <w:pStyle w:val="Style_7"/>
        <w:spacing w:after="0" w:before="0" w:line="228" w:lineRule="auto"/>
        <w:ind w:firstLine="709" w:left="0"/>
        <w:jc w:val="both"/>
        <w:rPr>
          <w:rFonts w:ascii="Times New Roman" w:hAnsi="Times New Roman"/>
          <w:i w:val="1"/>
          <w:sz w:val="28"/>
        </w:rPr>
      </w:pPr>
      <w:r>
        <w:rPr>
          <w:rFonts w:ascii="Times New Roman" w:hAnsi="Times New Roman"/>
          <w:i w:val="1"/>
          <w:sz w:val="28"/>
        </w:rPr>
        <w:t xml:space="preserve">Подраздел «Водное хозяйство» </w:t>
      </w:r>
    </w:p>
    <w:p w14:paraId="13020000">
      <w:pPr>
        <w:spacing w:line="228" w:lineRule="auto"/>
        <w:ind w:firstLine="709" w:left="0"/>
        <w:jc w:val="both"/>
        <w:outlineLvl w:val="0"/>
      </w:pPr>
      <w:r>
        <w:t xml:space="preserve">По данному подразделу запланированы бюджетные ассигнования </w:t>
      </w:r>
      <w:r>
        <w:t>на</w:t>
      </w:r>
      <w:r>
        <w:t>:</w:t>
      </w:r>
    </w:p>
    <w:p w14:paraId="14020000">
      <w:pPr>
        <w:spacing w:line="228" w:lineRule="auto"/>
        <w:ind w:firstLine="709" w:left="0"/>
        <w:jc w:val="both"/>
        <w:outlineLvl w:val="0"/>
      </w:pPr>
      <w:r>
        <w:t>финансовое обеспечение выполнения государственного задания государственным бюджетным учреждением Ростовской области «Управление водохозяйственным комплексом Ростовской области» в 2025 году – 92,7 млн рублей, в 2026 году – 23,9 млн рублей, в 2027 году – 22,0 млн рублей;</w:t>
      </w:r>
    </w:p>
    <w:p w14:paraId="15020000">
      <w:pPr>
        <w:spacing w:line="228" w:lineRule="auto"/>
        <w:ind w:firstLine="709" w:left="0"/>
        <w:jc w:val="both"/>
        <w:outlineLvl w:val="0"/>
      </w:pPr>
      <w:r>
        <w:t xml:space="preserve">осуществление отдельных полномочий в области водных отношений за счет средств федерального бюджета в 2026 году – 77,7 млн рублей;  </w:t>
      </w:r>
    </w:p>
    <w:p w14:paraId="16020000">
      <w:pPr>
        <w:spacing w:line="228" w:lineRule="auto"/>
        <w:ind w:firstLine="709" w:left="0"/>
        <w:jc w:val="both"/>
        <w:outlineLvl w:val="0"/>
      </w:pPr>
      <w:r>
        <w:t>предоставление субсидий на капитальный ремонт гидротехнических сооружений, находящихся в муниципальной собственности, и бесхозяйных гидротехнических сооружений в 2025 году – 46,5 млн рублей, в 2026 году – 24,4 млн рублей, в 2027 году – 3,4 млн рублей;</w:t>
      </w:r>
    </w:p>
    <w:p w14:paraId="17020000">
      <w:pPr>
        <w:spacing w:line="228" w:lineRule="auto"/>
        <w:ind w:firstLine="709" w:left="0"/>
        <w:jc w:val="both"/>
        <w:outlineLvl w:val="0"/>
      </w:pPr>
      <w:r>
        <w:t>организацию мониторинга водных объектов в 2025-2027 годах по 10,2 млн рублей ежегодно.</w:t>
      </w:r>
    </w:p>
    <w:p w14:paraId="18020000">
      <w:pPr>
        <w:ind w:firstLine="709" w:left="0"/>
        <w:jc w:val="both"/>
        <w:rPr>
          <w:b w:val="1"/>
          <w:i w:val="1"/>
        </w:rPr>
      </w:pPr>
    </w:p>
    <w:p w14:paraId="19020000">
      <w:pPr>
        <w:ind w:firstLine="709" w:left="0"/>
        <w:jc w:val="both"/>
        <w:rPr>
          <w:b w:val="1"/>
          <w:i w:val="1"/>
        </w:rPr>
      </w:pPr>
      <w:r>
        <w:rPr>
          <w:b w:val="1"/>
          <w:i w:val="1"/>
        </w:rPr>
        <w:t>Подраздел «Лесное хозяйство»</w:t>
      </w:r>
    </w:p>
    <w:p w14:paraId="1A020000">
      <w:pPr>
        <w:ind w:firstLine="709" w:left="0"/>
        <w:jc w:val="both"/>
        <w:rPr>
          <w:spacing w:val="-6"/>
        </w:rPr>
      </w:pPr>
      <w:r>
        <w:rPr>
          <w:spacing w:val="-6"/>
        </w:rPr>
        <w:t xml:space="preserve">В рамках данного подраздела бюджетные ассигнования будут направлены </w:t>
      </w:r>
      <w:r>
        <w:rPr>
          <w:spacing w:val="-6"/>
        </w:rPr>
        <w:t>на</w:t>
      </w:r>
      <w:r>
        <w:rPr>
          <w:spacing w:val="-6"/>
        </w:rPr>
        <w:t>:</w:t>
      </w:r>
    </w:p>
    <w:p w14:paraId="1B020000">
      <w:pPr>
        <w:ind w:firstLine="709" w:left="0"/>
        <w:jc w:val="both"/>
      </w:pPr>
      <w:r>
        <w:t>финансовое обеспечение деятельности министерства природных ресурсов и экологии Ростовской области в 2025 году – 239,8 млн рублей, в 2026 году – 253,6 млн рублей, в 2026 году – 170,8 млн рублей, включая средства федерального бюджета на осуществление отдельных полномочий в области лесных отношений в 2025 году – 86,0 млн рублей, в 2026 году – 91,5 млн рублей;</w:t>
      </w:r>
    </w:p>
    <w:p w14:paraId="1C020000">
      <w:pPr>
        <w:ind w:firstLine="709" w:left="0"/>
        <w:jc w:val="both"/>
      </w:pPr>
      <w:r>
        <w:t>финансовое обеспечение выполнения государственных заданий государственными автономными учреждениями Ростовской области «Лес», подведомственными министерству природных ресурсов и экологии Ростовской области, в 2025 году – 361,0 млн рублей, в 2026 году – 369,4 млн рублей, в 2027 году – 152,8 млн рублей без учета средств федерального бюджета</w:t>
      </w:r>
      <w:r>
        <w:rPr>
          <w:spacing w:val="-1"/>
        </w:rPr>
        <w:t>;</w:t>
      </w:r>
    </w:p>
    <w:p w14:paraId="1D020000">
      <w:pPr>
        <w:ind w:firstLine="709" w:left="0"/>
        <w:jc w:val="both"/>
      </w:pPr>
      <w:r>
        <w:t>финансовое обеспечение выполнения государственного задания государственным бюджетным учреждением Ростовской области «Дирекция особо охраняемых природных территорий областного значения» в части выполнения работ по охране, защите и воспроизводству лесов в 2025 году – 11,5 млн рублей, в 2026 году – 11,7 млн рублей, в 2027 году – 12,1 млн рублей;</w:t>
      </w:r>
    </w:p>
    <w:p w14:paraId="1E020000">
      <w:pPr>
        <w:ind w:firstLine="709" w:left="0"/>
        <w:jc w:val="both"/>
      </w:pPr>
      <w:r>
        <w:t>мероприятия по обеспечению функционирования системы видеонаблюдения за лесными и ландшафтными пожарами, обучению населения мерам пожарной безопасности в лесах, мероприятия по развитию и обеспечению функционирования системы контроля с использованием устрой</w:t>
      </w:r>
      <w:r>
        <w:t>ств дл</w:t>
      </w:r>
      <w:r>
        <w:t>я удаленного позиционирования в 2025-2027 годах по 16,3 млн рублей ежегодно.</w:t>
      </w:r>
    </w:p>
    <w:p w14:paraId="1F020000">
      <w:pPr>
        <w:ind w:firstLine="709" w:left="0"/>
        <w:jc w:val="both"/>
        <w:outlineLvl w:val="4"/>
      </w:pPr>
      <w:r>
        <w:t xml:space="preserve">На оснащение специализированных </w:t>
      </w:r>
      <w:r>
        <w:t>учреждений органов государственной власти субъектов Российской Федерации</w:t>
      </w:r>
      <w:r>
        <w:t xml:space="preserve"> </w:t>
      </w:r>
      <w:r>
        <w:t>лесопожарной</w:t>
      </w:r>
      <w:r>
        <w:t xml:space="preserve"> техникой и оборудованием для проведения комплекса мероприятий по охране лесов от пожаров за счет средств федерального бюджета запланировано в 2025 году – 18,1 млн рублей, в 2026 году – 28,0 млн рублей.</w:t>
      </w:r>
    </w:p>
    <w:p w14:paraId="20020000">
      <w:pPr>
        <w:pStyle w:val="Style_7"/>
        <w:spacing w:after="0" w:before="0"/>
        <w:ind w:firstLine="709" w:left="0"/>
        <w:jc w:val="both"/>
        <w:rPr>
          <w:rFonts w:ascii="Times New Roman" w:hAnsi="Times New Roman"/>
          <w:i w:val="1"/>
          <w:sz w:val="28"/>
        </w:rPr>
      </w:pPr>
    </w:p>
    <w:p w14:paraId="21020000">
      <w:pPr>
        <w:pStyle w:val="Style_7"/>
        <w:spacing w:after="0" w:before="0"/>
        <w:ind w:firstLine="709" w:left="0"/>
        <w:jc w:val="both"/>
        <w:rPr>
          <w:rFonts w:ascii="Times New Roman" w:hAnsi="Times New Roman"/>
          <w:i w:val="1"/>
          <w:sz w:val="28"/>
        </w:rPr>
      </w:pPr>
      <w:r>
        <w:rPr>
          <w:rFonts w:ascii="Times New Roman" w:hAnsi="Times New Roman"/>
          <w:i w:val="1"/>
          <w:sz w:val="28"/>
        </w:rPr>
        <w:t>Подраздел «Транспорт»</w:t>
      </w:r>
    </w:p>
    <w:p w14:paraId="22020000">
      <w:pPr>
        <w:ind w:firstLine="708" w:left="0"/>
      </w:pPr>
      <w:r>
        <w:t xml:space="preserve">Расходы по подразделу будут направлены </w:t>
      </w:r>
      <w:r>
        <w:t>на</w:t>
      </w:r>
      <w:r>
        <w:t>:</w:t>
      </w:r>
    </w:p>
    <w:p w14:paraId="23020000">
      <w:pPr>
        <w:ind w:firstLine="708" w:left="0"/>
        <w:jc w:val="both"/>
      </w:pPr>
      <w:r>
        <w:t>финансовое обеспечение деятельности министерства транспорта Ростовской области в 2025 году – 224,8 млн рублей, в 2026 году – 233,5 млн рублей, в 2027 году – 242,4 млн рублей;</w:t>
      </w:r>
    </w:p>
    <w:p w14:paraId="24020000">
      <w:pPr>
        <w:widowControl w:val="0"/>
        <w:ind w:firstLine="709" w:left="0"/>
        <w:jc w:val="both"/>
        <w:outlineLvl w:val="1"/>
      </w:pPr>
      <w:r>
        <w:t>финансовое обеспечение государственного бюджетного учреждения Ростовской области «Управление транспортного обеспечения» в 2025 году – 588,1 млн рублей, в 2026 году – 605,3 млн рублей, в 2027 году – 623,1 млн рублей;</w:t>
      </w:r>
    </w:p>
    <w:p w14:paraId="25020000">
      <w:pPr>
        <w:widowControl w:val="0"/>
        <w:ind w:firstLine="709" w:left="0"/>
        <w:jc w:val="both"/>
        <w:outlineLvl w:val="1"/>
      </w:pPr>
      <w:r>
        <w:t xml:space="preserve">развитие и сопровождение цифровой </w:t>
      </w:r>
      <w:r>
        <w:t>инфраструктуры</w:t>
      </w:r>
      <w:r>
        <w:t xml:space="preserve"> и защиту информации министерства транспорта Ростовской области в 2025-2027 годах в сумме 3,3 млн рублей ежегодно;</w:t>
      </w:r>
    </w:p>
    <w:p w14:paraId="26020000">
      <w:pPr>
        <w:ind w:firstLine="708" w:left="0"/>
        <w:jc w:val="both"/>
      </w:pPr>
      <w:r>
        <w:t xml:space="preserve">предоставление министерству транспорта Ростовской области бюджетных ассигнований в целях перечисления субсидии </w:t>
      </w:r>
      <w:r>
        <w:t>г</w:t>
      </w:r>
      <w:r>
        <w:t>. Ростову-на-Дону на реализацию концессионного соглашения по объекту: «Модернизация и создание инфраструктуры трамвая в городе Ростове-на-Дону» в 2025 году в сумме 7 697,9 млн рублей, в 2026 году – 633,4 млн рублей, в 2027 году – 751,5 млн рублей, в том числе за счет средств федерального бюджета в 2025 году – 7 544,0 млн рублей.</w:t>
      </w:r>
    </w:p>
    <w:p w14:paraId="27020000">
      <w:pPr>
        <w:ind w:firstLine="708" w:left="0"/>
        <w:jc w:val="both"/>
      </w:pPr>
      <w:r>
        <w:t>предоставление субсидий за счет средств областного бюджета организациям, осуществляющим перевозку пассажиров железнодорожным транспортом в пригородном сообщении, на возмещение недополученных доходов в связи с государственным регулированием тарифов на перевозку пассажиров железнодорожным транспортом в пригородном сообщении, в 2025-2027 годах по 662,4 млн рублей ежегодно;</w:t>
      </w:r>
    </w:p>
    <w:p w14:paraId="28020000">
      <w:pPr>
        <w:ind w:firstLine="708" w:left="0"/>
        <w:jc w:val="both"/>
      </w:pPr>
      <w:r>
        <w:t xml:space="preserve">предоставление субсидий юридическим лицам и индивидуальным предпринимателям, осуществляющим регулярные перевозки пассажиров и багажа автомобильным транспортом и (или) городским наземным электрическим транспортом по муниципальным маршрутам Ростовской области, на компенсацию недополученных доходов в связи с предоставлением льготного проезда отдельным категориям граждан, оказание мер социальной </w:t>
      </w:r>
      <w:r>
        <w:t>поддержки</w:t>
      </w:r>
      <w:r>
        <w:t xml:space="preserve"> которым относится к ведению Российской Федерации и субъектов Российской Федерации, включенных в Федеральный регистр лиц, имеющих право на получение государственной социальной помощи, в 2025-2027 годах по 204,5 млн рублей ежегодно;</w:t>
      </w:r>
    </w:p>
    <w:p w14:paraId="29020000">
      <w:pPr>
        <w:widowControl w:val="0"/>
        <w:ind w:firstLine="709" w:left="0"/>
        <w:jc w:val="both"/>
        <w:outlineLvl w:val="1"/>
      </w:pPr>
      <w:r>
        <w:t>предоставление субсидий организациям железнодорожного транспорта на возмещение части недополученных доходов в связи с оказанием услуг по перевозке пассажиров, являющихся обучающимися общеобразовательных организаций старше 7 лет, а также обучающимися по очной форме обучения в профессиональных образовательных организациях и образовательных организациях высшего образования, которым устанавливается льгота по тарифам на проезд железнодорожным транспортом общего пользования в поездах пригородного сообщения в виде скидки в</w:t>
      </w:r>
      <w:r>
        <w:t xml:space="preserve"> </w:t>
      </w:r>
      <w:r>
        <w:t>размере</w:t>
      </w:r>
      <w:r>
        <w:t xml:space="preserve"> 50 процентов от действующего тарифа при оплате проезда на железнодорожных станциях, находящихся на территории Ростовской области, в 2025-2027 годах по 82,0 млн рублей ежегодно.</w:t>
      </w:r>
    </w:p>
    <w:p w14:paraId="2A020000">
      <w:pPr>
        <w:pStyle w:val="Style_7"/>
        <w:spacing w:after="0" w:before="0"/>
        <w:ind w:firstLine="709" w:left="0"/>
        <w:jc w:val="both"/>
        <w:rPr>
          <w:rFonts w:ascii="Times New Roman" w:hAnsi="Times New Roman"/>
          <w:i w:val="1"/>
          <w:sz w:val="28"/>
        </w:rPr>
      </w:pPr>
    </w:p>
    <w:p w14:paraId="2B020000">
      <w:pPr>
        <w:pStyle w:val="Style_7"/>
        <w:spacing w:after="0" w:before="0"/>
        <w:ind w:firstLine="709" w:left="0"/>
        <w:jc w:val="both"/>
        <w:rPr>
          <w:rFonts w:ascii="Times New Roman" w:hAnsi="Times New Roman"/>
          <w:i w:val="1"/>
          <w:sz w:val="28"/>
        </w:rPr>
      </w:pPr>
      <w:r>
        <w:rPr>
          <w:rFonts w:ascii="Times New Roman" w:hAnsi="Times New Roman"/>
          <w:i w:val="1"/>
          <w:sz w:val="28"/>
        </w:rPr>
        <w:t>Подраздел «Дорожное хозяйство (дорожные фонды)»</w:t>
      </w:r>
    </w:p>
    <w:p w14:paraId="2C020000">
      <w:pPr>
        <w:ind w:firstLine="709" w:left="0"/>
        <w:jc w:val="both"/>
      </w:pPr>
      <w:r>
        <w:t>Расходы на дорожное хозяйство запланированы на основании прогнозируемого объема поступлений доходов дорожного фонда Ростовской области, предусмотренных Областным законом от 08.11.2011 № 705-ЗС               «О дорожном фонде Ростовской области».</w:t>
      </w:r>
    </w:p>
    <w:p w14:paraId="2D020000">
      <w:pPr>
        <w:widowControl w:val="0"/>
        <w:ind w:firstLine="709" w:left="0"/>
        <w:jc w:val="both"/>
        <w:rPr>
          <w:spacing w:val="-1"/>
        </w:rPr>
      </w:pPr>
      <w:r>
        <w:t xml:space="preserve">По данному подразделу запланированы бюджетные ассигнования </w:t>
      </w:r>
      <w:r>
        <w:t>на</w:t>
      </w:r>
      <w:r>
        <w:t>:</w:t>
      </w:r>
    </w:p>
    <w:p w14:paraId="2E020000">
      <w:pPr>
        <w:widowControl w:val="0"/>
        <w:ind w:firstLine="709" w:left="0"/>
        <w:jc w:val="both"/>
        <w:rPr>
          <w:spacing w:val="-1"/>
        </w:rPr>
      </w:pPr>
      <w:r>
        <w:t xml:space="preserve">проектирование, строительство и реконструкцию автомобильных дорог регионального и межмуниципального значения </w:t>
      </w:r>
      <w:r>
        <w:rPr>
          <w:spacing w:val="-1"/>
        </w:rPr>
        <w:t>в 2025 году – 4 616,3 млн рублей, в 2026-2027 годах по 3 577,8 млн рублей ежегодно, в том числе</w:t>
      </w:r>
      <w:r>
        <w:t xml:space="preserve"> на реализацию в 2025 году инфраструктурного проекта по строительству автомобильной дороги «Северный радиус» в составе Ростовского транспортного кольца за счет средств бюджетного кредита из федерального бюджета</w:t>
      </w:r>
      <w:r>
        <w:rPr>
          <w:spacing w:val="-1"/>
        </w:rPr>
        <w:t>;</w:t>
      </w:r>
    </w:p>
    <w:p w14:paraId="2F020000">
      <w:pPr>
        <w:widowControl w:val="0"/>
        <w:ind w:firstLine="709" w:left="0"/>
        <w:jc w:val="both"/>
        <w:rPr>
          <w:spacing w:val="-1"/>
        </w:rPr>
      </w:pPr>
      <w:r>
        <w:t xml:space="preserve">предоставление субсидии юридическому лицу для предоставления средств на выплату концессионеру части платы </w:t>
      </w:r>
      <w:r>
        <w:t>концедента</w:t>
      </w:r>
      <w:r>
        <w:t xml:space="preserve"> по концессионному соглашению «О создании и эксплуатации автомобильной дороги общего пользования регионального значения Ростовской области «Западная хорда» от а/</w:t>
      </w:r>
      <w:r>
        <w:t>д</w:t>
      </w:r>
      <w:r>
        <w:t xml:space="preserve"> А-280 Ростов-на-Дону - Таганрог до моста через реку Дон на Западном обходе (ул. Всесоюзная - Западное шоссе) (2 этап)», в </w:t>
      </w:r>
      <w:r>
        <w:rPr>
          <w:spacing w:val="-1"/>
        </w:rPr>
        <w:t>2026 году – 2 049,0 млн рублей, в 2027 году</w:t>
      </w:r>
      <w:r>
        <w:rPr>
          <w:spacing w:val="-1"/>
        </w:rPr>
        <w:t xml:space="preserve"> – 1 443,6 млн рублей;</w:t>
      </w:r>
    </w:p>
    <w:p w14:paraId="30020000">
      <w:pPr>
        <w:ind w:firstLine="709" w:left="0"/>
        <w:jc w:val="both"/>
      </w:pPr>
      <w:r>
        <w:t xml:space="preserve">капитальный ремонт и разработку проектной документации на капитальный ремонт автомобильных дорог регионального и межмуниципального значения, </w:t>
      </w:r>
      <w:r>
        <w:rPr>
          <w:spacing w:val="-1"/>
        </w:rPr>
        <w:t>в 2025 году – 2 027,7 млн рублей, в 2026-2027 годах по 2 402,6 млн рублей ежегодно;</w:t>
      </w:r>
    </w:p>
    <w:p w14:paraId="31020000">
      <w:pPr>
        <w:ind w:firstLine="709" w:left="0"/>
        <w:jc w:val="both"/>
      </w:pPr>
      <w:r>
        <w:t xml:space="preserve">ремонт и содержание автомобильных дорог регионального и межмуниципального значения </w:t>
      </w:r>
      <w:r>
        <w:rPr>
          <w:spacing w:val="-1"/>
        </w:rPr>
        <w:t>в 2025 году – 10 630,5 млн рублей, в 2026 году – 11 606,4 млн рублей, в 2027 году – 7 551,4 млн рублей</w:t>
      </w:r>
      <w:r>
        <w:t>, в том числе</w:t>
      </w:r>
      <w:r>
        <w:rPr>
          <w:spacing w:val="-1"/>
        </w:rPr>
        <w:t xml:space="preserve"> за счет средств федерального бюджета в 2025 году – 5 563,3 млн рублей</w:t>
      </w:r>
      <w:r>
        <w:t xml:space="preserve">, в </w:t>
      </w:r>
      <w:r>
        <w:rPr>
          <w:spacing w:val="-1"/>
        </w:rPr>
        <w:t>2026 году – 5 316,8</w:t>
      </w:r>
      <w:r>
        <w:t> </w:t>
      </w:r>
      <w:r>
        <w:rPr>
          <w:spacing w:val="-1"/>
        </w:rPr>
        <w:t>млн рублей;</w:t>
      </w:r>
    </w:p>
    <w:p w14:paraId="32020000">
      <w:pPr>
        <w:ind w:firstLine="709" w:left="0"/>
        <w:jc w:val="both"/>
      </w:pPr>
      <w:r>
        <w:t>предоставление межбюджетных трансфертов местным бюджетам</w:t>
      </w:r>
      <w:r>
        <w:t xml:space="preserve"> </w:t>
      </w:r>
      <w:r>
        <w:t>на</w:t>
      </w:r>
      <w:r>
        <w:t> </w:t>
      </w:r>
      <w:r>
        <w:t xml:space="preserve">строительство, реконструкцию, капитальный ремонт, ремонт и проектирование дорог местного значения в 2025 году </w:t>
      </w:r>
      <w:r>
        <w:rPr>
          <w:spacing w:val="-1"/>
        </w:rPr>
        <w:t xml:space="preserve"> – 9 120,9 млн рублей, в 2026 году – 6</w:t>
      </w:r>
      <w:r>
        <w:rPr>
          <w:spacing w:val="-1"/>
        </w:rPr>
        <w:t> </w:t>
      </w:r>
      <w:r>
        <w:rPr>
          <w:spacing w:val="-1"/>
        </w:rPr>
        <w:t>475,5</w:t>
      </w:r>
      <w:r>
        <w:rPr>
          <w:spacing w:val="-1"/>
        </w:rPr>
        <w:t> </w:t>
      </w:r>
      <w:r>
        <w:rPr>
          <w:spacing w:val="-1"/>
        </w:rPr>
        <w:t>млн рублей, в 2027 году – 6 419,3 млн рублей</w:t>
      </w:r>
      <w:r>
        <w:t>, в том числе</w:t>
      </w:r>
      <w:r>
        <w:rPr>
          <w:spacing w:val="-1"/>
        </w:rPr>
        <w:t xml:space="preserve"> за счет средств федерального бюджета в 2026 году – 135,2 млн рублей.</w:t>
      </w:r>
      <w:r>
        <w:t xml:space="preserve">              </w:t>
      </w:r>
    </w:p>
    <w:p w14:paraId="33020000">
      <w:pPr>
        <w:ind w:firstLine="709" w:left="0"/>
        <w:jc w:val="both"/>
      </w:pPr>
      <w:r>
        <w:t>В составе расходов дорожного фонда Ростовской области предусматриваются зарезервированные бюджетные ассигнования на неотложные и чрезвычайные мероприятия в отношении автомобильных дорог общего пользования регионального или межмуниципального и местного значения в              2025 году в сумме 268,3 млн рублей, в 2026 году – 432,3 млн рублей, в 2027 году –</w:t>
      </w:r>
      <w:r>
        <w:rPr>
          <w:spacing w:val="-1"/>
        </w:rPr>
        <w:t xml:space="preserve"> </w:t>
      </w:r>
      <w:r>
        <w:rPr>
          <w:rStyle w:val="Style_8_ch"/>
        </w:rPr>
        <w:t>447,3 млн рублей.</w:t>
      </w:r>
    </w:p>
    <w:p w14:paraId="34020000">
      <w:pPr>
        <w:ind w:firstLine="709" w:left="0"/>
        <w:jc w:val="both"/>
      </w:pPr>
      <w:r>
        <w:t xml:space="preserve">На осуществление почтовых расходов по рассылке копий постановлений об административных правонарушениях, выявленных с помощью специальных технических средств </w:t>
      </w:r>
      <w:r>
        <w:t>фото-видеофиксации</w:t>
      </w:r>
      <w:r>
        <w:t xml:space="preserve"> нарушений в области дорожного движения и на разработку, создание, приобретение, содержание, эксплуатацию систем фот</w:t>
      </w:r>
      <w:r>
        <w:t>о-</w:t>
      </w:r>
      <w:r>
        <w:t xml:space="preserve"> и </w:t>
      </w:r>
      <w:r>
        <w:t>видеофиксации</w:t>
      </w:r>
      <w:r>
        <w:t xml:space="preserve"> нарушений правил дорожного движения, предусмотрены расходы в 2025-2027 годах в сумме 216,3 млн рублей ежегодно.</w:t>
      </w:r>
    </w:p>
    <w:p w14:paraId="35020000">
      <w:pPr>
        <w:ind/>
        <w:jc w:val="both"/>
      </w:pPr>
    </w:p>
    <w:p w14:paraId="36020000">
      <w:pPr>
        <w:ind w:firstLine="709" w:left="0"/>
        <w:jc w:val="both"/>
        <w:rPr>
          <w:b w:val="1"/>
          <w:i w:val="1"/>
        </w:rPr>
      </w:pPr>
      <w:r>
        <w:rPr>
          <w:b w:val="1"/>
          <w:i w:val="1"/>
        </w:rPr>
        <w:t>Подраздел «Связь и информатика»</w:t>
      </w:r>
    </w:p>
    <w:p w14:paraId="37020000">
      <w:pPr>
        <w:ind w:firstLine="709" w:left="0"/>
        <w:jc w:val="both"/>
      </w:pPr>
      <w:r>
        <w:t xml:space="preserve">Расходы по подразделу будут направлены </w:t>
      </w:r>
      <w:r>
        <w:t>на</w:t>
      </w:r>
      <w:r>
        <w:t>:</w:t>
      </w:r>
    </w:p>
    <w:p w14:paraId="38020000">
      <w:pPr>
        <w:ind w:firstLine="709" w:left="0"/>
        <w:jc w:val="both"/>
      </w:pPr>
      <w:r>
        <w:t>финансовое обеспечение деятельности министерства цифрового развития, информационных технологий и связи Ростовской области в 2025 году в сумме 129,1 млн рублей, в 2026 году – 133,9 млн рублей, в 2027 году – 139,2 млн рублей;</w:t>
      </w:r>
    </w:p>
    <w:p w14:paraId="39020000">
      <w:pPr>
        <w:ind w:firstLine="709" w:left="0"/>
        <w:jc w:val="both"/>
      </w:pPr>
      <w:r>
        <w:t xml:space="preserve">финансовое обеспечение выполнения государственного задания </w:t>
      </w:r>
      <w:r>
        <w:rPr>
          <w:color w:themeColor="text1" w:val="000000"/>
        </w:rPr>
        <w:t xml:space="preserve">подведомственным министерству цифрового развития, информационных технологий и связи Ростовской области государственным бюджетным учреждением «Региональный центр информационных систем» </w:t>
      </w:r>
      <w:r>
        <w:t>в 2025 году в сумме 136,5 млн рублей, в 2026 году – 112,6 млн рублей, в 2027 году – 114,0 млн рублей;</w:t>
      </w:r>
    </w:p>
    <w:p w14:paraId="3A020000">
      <w:pPr>
        <w:ind w:firstLine="709" w:left="0"/>
        <w:jc w:val="both"/>
      </w:pPr>
      <w:r>
        <w:rPr>
          <w:color w:themeColor="text1" w:val="000000"/>
        </w:rPr>
        <w:t xml:space="preserve">развитие и сопровождение цифровой </w:t>
      </w:r>
      <w:r>
        <w:rPr>
          <w:color w:themeColor="text1" w:val="000000"/>
        </w:rPr>
        <w:t>инфраструктуры</w:t>
      </w:r>
      <w:r>
        <w:rPr>
          <w:color w:themeColor="text1" w:val="000000"/>
        </w:rPr>
        <w:t xml:space="preserve"> и защиту информации, мероприятия, отражающие специфику развития информационного общества, электронного правительства, популяризации отрасли связи и </w:t>
      </w:r>
      <w:r>
        <w:rPr>
          <w:color w:themeColor="text1" w:val="000000"/>
        </w:rPr>
        <w:t>ИТ-сферы</w:t>
      </w:r>
      <w:r>
        <w:rPr>
          <w:color w:themeColor="text1" w:val="000000"/>
        </w:rPr>
        <w:t xml:space="preserve"> в Ростовской области, а также развитие и модернизацию единой </w:t>
      </w:r>
      <w:r>
        <w:rPr>
          <w:color w:themeColor="text1" w:val="000000"/>
        </w:rPr>
        <w:t>геоинформационной</w:t>
      </w:r>
      <w:r>
        <w:rPr>
          <w:color w:themeColor="text1" w:val="000000"/>
        </w:rPr>
        <w:t xml:space="preserve"> системы Ростовской области </w:t>
      </w:r>
      <w:r>
        <w:t>в 2025 году в сумме 382,6 млн рублей, в 2026 году – 366,2 млн рублей, в 2027 году – 366,2 млн рублей;</w:t>
      </w:r>
    </w:p>
    <w:p w14:paraId="3B020000">
      <w:pPr>
        <w:ind w:firstLine="709" w:left="0"/>
        <w:jc w:val="both"/>
      </w:pPr>
      <w:r>
        <w:rPr>
          <w:color w:themeColor="text1" w:val="000000"/>
        </w:rPr>
        <w:t xml:space="preserve">предоставление субсидии на обеспечение деятельности автономной некоммерческой организации </w:t>
      </w:r>
      <w:r>
        <w:t>«Центр социальных коммуникаций Ростовской области» в 2025-2027 годах в сумме 31,6 млн рублей ежегодно;</w:t>
      </w:r>
    </w:p>
    <w:p w14:paraId="3C020000">
      <w:pPr>
        <w:ind w:firstLine="709" w:left="0"/>
        <w:jc w:val="both"/>
      </w:pPr>
      <w:r>
        <w:rPr>
          <w:spacing w:val="-1"/>
        </w:rPr>
        <w:t xml:space="preserve">предоставление субсидии </w:t>
      </w:r>
      <w:r>
        <w:t xml:space="preserve">организациям и индивидуальным предпринимателям на возмещение части затрат, понесенных при реализации программ </w:t>
      </w:r>
      <w:r>
        <w:t>бизнес-акселерации</w:t>
      </w:r>
      <w:r>
        <w:t xml:space="preserve"> в сфере информационных технологий, в 2025-2027 годах по 9,0 млн рублей ежегодно;</w:t>
      </w:r>
    </w:p>
    <w:p w14:paraId="3D020000">
      <w:pPr>
        <w:ind w:firstLine="709" w:left="0"/>
        <w:jc w:val="both"/>
      </w:pPr>
      <w:r>
        <w:rPr>
          <w:spacing w:val="-1"/>
        </w:rPr>
        <w:t xml:space="preserve">предоставление субсидии </w:t>
      </w:r>
      <w:r>
        <w:t xml:space="preserve">организациям, обеспечивающим деятельность сайтов в информационно-телекоммуникационной сети «Интернет», на финансовое обеспечение затрат по формированию информационного пространства с учетом потребностей граждан и общества </w:t>
      </w:r>
      <w:r>
        <w:rPr>
          <w:spacing w:val="-1"/>
        </w:rPr>
        <w:t>в 2025-2027 годах</w:t>
      </w:r>
      <w:r>
        <w:rPr>
          <w:spacing w:val="-6"/>
        </w:rPr>
        <w:t xml:space="preserve"> в объеме 56,6 млн рублей ежегодно</w:t>
      </w:r>
      <w:r>
        <w:t>.</w:t>
      </w:r>
    </w:p>
    <w:p w14:paraId="3E020000">
      <w:pPr>
        <w:ind w:firstLine="709" w:left="0"/>
        <w:jc w:val="both"/>
      </w:pPr>
    </w:p>
    <w:p w14:paraId="3F020000">
      <w:pPr>
        <w:ind w:firstLine="709" w:left="0"/>
        <w:jc w:val="both"/>
        <w:rPr>
          <w:b w:val="1"/>
          <w:i w:val="1"/>
        </w:rPr>
      </w:pPr>
      <w:r>
        <w:rPr>
          <w:b w:val="1"/>
          <w:i w:val="1"/>
        </w:rPr>
        <w:t>Подраздел «Другие вопросы в области национальной экономики»</w:t>
      </w:r>
    </w:p>
    <w:p w14:paraId="40020000">
      <w:pPr>
        <w:ind w:firstLine="708" w:left="0"/>
        <w:jc w:val="both"/>
      </w:pPr>
      <w:r>
        <w:rPr>
          <w:spacing w:val="-1"/>
        </w:rPr>
        <w:t xml:space="preserve">На поддержку бизнеса планируется направить </w:t>
      </w:r>
      <w:r>
        <w:t>в 2025 году – 1 751,3 млн рублей, в 2026 году – 1 656,4 млн рублей, в 2027 году – 1 651,9 млн рублей.</w:t>
      </w:r>
    </w:p>
    <w:p w14:paraId="41020000">
      <w:pPr>
        <w:ind w:firstLine="709" w:left="0"/>
        <w:jc w:val="both"/>
      </w:pPr>
      <w:r>
        <w:rPr>
          <w:spacing w:val="-1"/>
        </w:rPr>
        <w:t xml:space="preserve">Бюджетные ассигнования по подразделу предусмотрены </w:t>
      </w:r>
      <w:r>
        <w:t>автономной некоммерческой организации - </w:t>
      </w:r>
      <w:r>
        <w:t>микрофинансовой</w:t>
      </w:r>
      <w:r>
        <w:t xml:space="preserve"> компании «Ростовское региональное агентство поддержки предпринимательства» на 2025-2027 годы по 307,0 млн рублей ежегодно на следующие направления расходов:</w:t>
      </w:r>
    </w:p>
    <w:p w14:paraId="42020000">
      <w:pPr>
        <w:ind w:firstLine="709" w:left="0"/>
        <w:jc w:val="both"/>
      </w:pPr>
      <w:r>
        <w:t xml:space="preserve">развитие программы </w:t>
      </w:r>
      <w:r>
        <w:t>микрофинансирования</w:t>
      </w:r>
      <w:r>
        <w:t xml:space="preserve"> в 2025-2027 годах по 212,2 млн рублей ежегодно;</w:t>
      </w:r>
    </w:p>
    <w:p w14:paraId="43020000">
      <w:pPr>
        <w:ind w:firstLine="709" w:left="0"/>
        <w:jc w:val="both"/>
      </w:pPr>
      <w:r>
        <w:t>создание и (или) развитие проекта «Мой бизнес» в 2025-2027 годах по 43,4 млн рублей ежегодно;</w:t>
      </w:r>
    </w:p>
    <w:p w14:paraId="44020000">
      <w:pPr>
        <w:ind w:firstLine="709" w:left="0"/>
        <w:jc w:val="both"/>
      </w:pPr>
      <w:r>
        <w:t>создание и (или) обеспечение деятельности пространств коллективной работы «Точка кипения» в 2025 году – 24,4 млн рублей, в 2026 и 2027 годах по 24,3 млн рублей ежегодно;</w:t>
      </w:r>
    </w:p>
    <w:p w14:paraId="45020000">
      <w:pPr>
        <w:ind w:firstLine="709" w:left="0"/>
        <w:jc w:val="both"/>
      </w:pPr>
      <w:r>
        <w:t>обеспечение деятельности Центра истинных ценностей в 2025-2027 годах по 11,9 млн рублей ежегодно;</w:t>
      </w:r>
    </w:p>
    <w:p w14:paraId="46020000">
      <w:pPr>
        <w:ind w:firstLine="709" w:left="0"/>
        <w:jc w:val="both"/>
      </w:pPr>
      <w:r>
        <w:t>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 в 2025-2027 годах по 8,0 млн рублей ежегодно;</w:t>
      </w:r>
    </w:p>
    <w:p w14:paraId="47020000">
      <w:pPr>
        <w:ind w:firstLine="709" w:left="0"/>
        <w:jc w:val="both"/>
      </w:pPr>
      <w:r>
        <w:t xml:space="preserve">обеспечение деятельности в целях функционирования Ростовского </w:t>
      </w:r>
      <w:r>
        <w:t>бизнес-инкубатора</w:t>
      </w:r>
      <w:r>
        <w:t xml:space="preserve"> в 2025 году – 4,2 млн рублей, в 2026 и 2027 годах по 4,3 млн рублей ежегодно;</w:t>
      </w:r>
    </w:p>
    <w:p w14:paraId="48020000">
      <w:pPr>
        <w:ind w:firstLine="709" w:left="0"/>
        <w:jc w:val="both"/>
      </w:pPr>
      <w:r>
        <w:t>организацию проведения инвестиционного послания Губернатора Ростовской области в 2025-2027 годах по 2,9 млн рублей ежегодно.</w:t>
      </w:r>
    </w:p>
    <w:p w14:paraId="49020000">
      <w:pPr>
        <w:ind w:firstLine="709" w:left="0"/>
        <w:jc w:val="both"/>
      </w:pPr>
      <w:r>
        <w:t>Для уплаты взноса в уставный капитал акционерного общества «Региональная лизинговая компания Ростовской области» на осуществление уставной деятельности общества на 2025-2027 годы предусмотрено по 83,3 млн рублей ежегодно.</w:t>
      </w:r>
    </w:p>
    <w:p w14:paraId="4A020000">
      <w:pPr>
        <w:ind w:firstLine="709" w:left="0"/>
        <w:jc w:val="both"/>
      </w:pPr>
      <w:r>
        <w:t>Для автономной некоммерческой организации по поддержке инноваций «Агентство инноваций Ростовской области» в 2025 году запланировано 50,5 млн рублей, в 2026 и 2027 годах по 51,2 млн рублей ежегодно.</w:t>
      </w:r>
    </w:p>
    <w:p w14:paraId="4B020000">
      <w:pPr>
        <w:ind w:firstLine="709" w:left="0"/>
        <w:jc w:val="both"/>
      </w:pPr>
      <w:r>
        <w:t xml:space="preserve">В их составе будут предоставляться субсидии </w:t>
      </w:r>
      <w:r>
        <w:t>на</w:t>
      </w:r>
      <w:r>
        <w:t xml:space="preserve">: </w:t>
      </w:r>
    </w:p>
    <w:p w14:paraId="4C020000">
      <w:pPr>
        <w:ind w:firstLine="709" w:left="0"/>
        <w:jc w:val="both"/>
      </w:pPr>
      <w:r>
        <w:t>создание и (или) обеспечение деятельности регионального центра компетенций в сфере производительности труда в 2025 году – 29,0 млн рублей, в 2026 и 2027 годах по 29,7 млн рублей ежегодно;</w:t>
      </w:r>
    </w:p>
    <w:p w14:paraId="4D020000">
      <w:pPr>
        <w:ind w:firstLine="709" w:left="0"/>
        <w:jc w:val="both"/>
      </w:pPr>
      <w:r>
        <w:t>обеспечение деятельности в целях содействия инновационному развитию Ростовской области, за исключением деятельности регионального центра компетенций в сфере производительности труда, в 2025-2027 годах по 21,5 млн рублей ежегодно.</w:t>
      </w:r>
    </w:p>
    <w:p w14:paraId="4E020000">
      <w:pPr>
        <w:tabs>
          <w:tab w:leader="none" w:pos="709" w:val="left"/>
        </w:tabs>
        <w:ind w:firstLine="709" w:left="0"/>
        <w:jc w:val="both"/>
      </w:pPr>
      <w:r>
        <w:rPr>
          <w:spacing w:val="-1"/>
        </w:rPr>
        <w:t xml:space="preserve">На обеспечение деятельности автономной некоммерческой организации «Центр координации поддержки </w:t>
      </w:r>
      <w:r>
        <w:rPr>
          <w:spacing w:val="-1"/>
        </w:rPr>
        <w:t>экспортоориентированных</w:t>
      </w:r>
      <w:r>
        <w:rPr>
          <w:spacing w:val="-1"/>
        </w:rPr>
        <w:t xml:space="preserve"> субъектов малого и среднего предпринимательства Ростовской области» в </w:t>
      </w:r>
      <w:r>
        <w:t>2025-2027 годах предусмотрено по 30,1 млн рублей ежегодно.</w:t>
      </w:r>
    </w:p>
    <w:p w14:paraId="4F020000">
      <w:pPr>
        <w:ind w:firstLine="709" w:left="0"/>
        <w:jc w:val="both"/>
        <w:rPr>
          <w:spacing w:val="-6"/>
        </w:rPr>
      </w:pPr>
      <w:r>
        <w:rPr>
          <w:spacing w:val="-6"/>
        </w:rPr>
        <w:t>Для поддержки инвесторов законопроектом предусмотрены средства областного бюджета на предоставление субсидий:</w:t>
      </w:r>
    </w:p>
    <w:p w14:paraId="50020000">
      <w:pPr>
        <w:ind w:firstLine="709" w:left="0"/>
        <w:jc w:val="both"/>
        <w:rPr>
          <w:spacing w:val="-6"/>
        </w:rPr>
      </w:pPr>
      <w:r>
        <w:rPr>
          <w:spacing w:val="-6"/>
        </w:rPr>
        <w:t xml:space="preserve">организациям независимо от их организационно-правовой формы и индивидуальным предпринимателям на возмещение части затрат по созданию объектов капитального строительства инженерной инфраструктуры, являющихся неотъемлемой частью инвестиционного проекта, и (или) их подключению (технологическому присоединению) к инженерным системам </w:t>
      </w:r>
      <w:r>
        <w:rPr>
          <w:spacing w:val="-6"/>
        </w:rPr>
        <w:t>электр</w:t>
      </w:r>
      <w:r>
        <w:rPr>
          <w:spacing w:val="-6"/>
        </w:rPr>
        <w:t>о</w:t>
      </w:r>
      <w:r>
        <w:rPr>
          <w:spacing w:val="-6"/>
        </w:rPr>
        <w:t>-</w:t>
      </w:r>
      <w:r>
        <w:rPr>
          <w:spacing w:val="-6"/>
        </w:rPr>
        <w:t xml:space="preserve">, </w:t>
      </w:r>
      <w:r>
        <w:rPr>
          <w:spacing w:val="-6"/>
        </w:rPr>
        <w:t>газо</w:t>
      </w:r>
      <w:r>
        <w:rPr>
          <w:spacing w:val="-6"/>
        </w:rPr>
        <w:t>-, тепло- водоснабжения и водоотведения, в 2025-2027 годах по 239,8 млн рублей ежегодно;</w:t>
      </w:r>
    </w:p>
    <w:p w14:paraId="51020000">
      <w:pPr>
        <w:ind w:firstLine="709" w:left="0"/>
        <w:jc w:val="both"/>
      </w:pPr>
      <w:r>
        <w:t>организациям на возмещение части затрат на уплату процентов по кредитам, полученным в кредитных организациях, имеющих лицензию Центрального банка Российской Федерации, и государственной корпорации развития «ВЭБ</w:t>
      </w:r>
      <w:r>
        <w:t>.Р</w:t>
      </w:r>
      <w:r>
        <w:t>Ф», на новое строительство, реконструкцию, техническое перевооружение действующих предприятий, а также на рефинансирование ранее полученных кредитов, в 2025-2027 годах по 600,0 млн. рублей ежегодно.</w:t>
      </w:r>
    </w:p>
    <w:p w14:paraId="52020000">
      <w:pPr>
        <w:ind w:firstLine="709" w:left="0"/>
        <w:jc w:val="both"/>
        <w:rPr>
          <w:spacing w:val="-6"/>
        </w:rPr>
      </w:pPr>
      <w:r>
        <w:t>Для автономной некоммерческой организации «Агентство по туризму и деловым коммуникациям Ростовской области» в 2025-2027 годах предусмотрено по 119,2 млн рублей ежегодно, в том числе на обеспечение деятельности:</w:t>
      </w:r>
    </w:p>
    <w:p w14:paraId="53020000">
      <w:pPr>
        <w:ind w:firstLine="709" w:left="0"/>
        <w:jc w:val="both"/>
      </w:pPr>
      <w:r>
        <w:t>в целях повышения туристской привлекательности на территории Ростовской области в 2025-2027 годах по 57,0 млн рублей ежегодно;</w:t>
      </w:r>
    </w:p>
    <w:p w14:paraId="54020000">
      <w:pPr>
        <w:ind w:firstLine="709" w:left="0"/>
        <w:jc w:val="both"/>
      </w:pPr>
      <w:r>
        <w:t xml:space="preserve">по организации </w:t>
      </w:r>
      <w:r>
        <w:t>конгрессно-выставочных</w:t>
      </w:r>
      <w:r>
        <w:t xml:space="preserve"> мероприятий, связанных с привлечением инвестиций в Ростовскую область, в 2025-2027 годах по 62,2 млн рублей ежегодно. </w:t>
      </w:r>
    </w:p>
    <w:p w14:paraId="55020000">
      <w:pPr>
        <w:ind w:firstLine="709" w:left="0"/>
        <w:jc w:val="both"/>
      </w:pPr>
      <w:r>
        <w:t>На создание модульных некапитальных средств размещения при реализации инвестиционных проектов в 2025-2027 годах предусмотрено по 1,4 млн рублей ежегодно.</w:t>
      </w:r>
    </w:p>
    <w:p w14:paraId="56020000">
      <w:pPr>
        <w:ind w:firstLine="708" w:left="0"/>
        <w:jc w:val="both"/>
      </w:pPr>
      <w:r>
        <w:t>Для содействия развитию промышленности и привлечения инвестиций в промышленность Ростовской области по данному подразделу запланированы бюджетные ассигнования на обеспечение деятельности некоммерческой организации «Региональный фонд развития промышленности Ростовской области» в 2025 году в объеме 320,0 млн рублей, в 2026 году – 224,5 млн рублей, в 2027 году – 220,0 млн рублей ежегодно.</w:t>
      </w:r>
    </w:p>
    <w:p w14:paraId="57020000">
      <w:pPr>
        <w:ind w:firstLine="708" w:left="0"/>
        <w:jc w:val="both"/>
      </w:pPr>
      <w:r>
        <w:t xml:space="preserve">Указанные средства областного бюджета будут направлены </w:t>
      </w:r>
      <w:r>
        <w:t>на</w:t>
      </w:r>
      <w:r>
        <w:t>:</w:t>
      </w:r>
    </w:p>
    <w:p w14:paraId="58020000">
      <w:pPr>
        <w:ind w:firstLine="709" w:left="0"/>
        <w:jc w:val="both"/>
        <w:outlineLvl w:val="4"/>
      </w:pPr>
      <w:r>
        <w:t>реализацию региональных программ развития промышленности, в том числе для предоставления заемных средств субъектам деятельности в сфере промышленности, 300,0 млн рублей в 2025 году, по 200,0 млн рублей в 2026 и 2027 годах ежегодно;</w:t>
      </w:r>
    </w:p>
    <w:p w14:paraId="59020000">
      <w:pPr>
        <w:ind w:firstLine="709" w:left="0"/>
        <w:jc w:val="both"/>
        <w:outlineLvl w:val="4"/>
      </w:pPr>
      <w:r>
        <w:t>организацию коллективной экспозиции Ростовской области на международной промышленной выставке «</w:t>
      </w:r>
      <w:r>
        <w:t>Иннопром</w:t>
      </w:r>
      <w:r>
        <w:t>» по 20,0 млн рублей в 2025-2027 годах ежегодно;</w:t>
      </w:r>
    </w:p>
    <w:p w14:paraId="5A020000">
      <w:pPr>
        <w:tabs>
          <w:tab w:leader="none" w:pos="709" w:val="left"/>
        </w:tabs>
        <w:ind w:firstLine="709" w:left="0"/>
        <w:jc w:val="both"/>
        <w:outlineLvl w:val="4"/>
      </w:pPr>
      <w:r>
        <w:t>организацию коллективной экспозиции Ростовской области на Международной выставке и научной конференции по гидроавиации «</w:t>
      </w:r>
      <w:r>
        <w:t>Гидроавиасалон</w:t>
      </w:r>
      <w:r>
        <w:t>» в 2026 году – 4,5 млн рублей.</w:t>
      </w:r>
    </w:p>
    <w:p w14:paraId="5B020000">
      <w:pPr>
        <w:ind w:firstLine="709" w:left="0"/>
        <w:jc w:val="both"/>
        <w:rPr>
          <w:spacing w:val="-6"/>
        </w:rPr>
      </w:pPr>
      <w:r>
        <w:rPr>
          <w:spacing w:val="-6"/>
        </w:rPr>
        <w:t xml:space="preserve">Кроме того, в рамках данного подраздела учтены бюджетные ассигнования </w:t>
      </w:r>
      <w:r>
        <w:rPr>
          <w:spacing w:val="-6"/>
        </w:rPr>
        <w:t>на</w:t>
      </w:r>
      <w:r>
        <w:rPr>
          <w:spacing w:val="-6"/>
        </w:rPr>
        <w:t>:</w:t>
      </w:r>
    </w:p>
    <w:p w14:paraId="5C020000">
      <w:pPr>
        <w:ind w:firstLine="709" w:left="0"/>
        <w:jc w:val="both"/>
      </w:pPr>
      <w:r>
        <w:t>финансовое обеспечение выполнения государственным автономным учреждением Ростовской области «Региональный научно-исследовательский и проектный институт градостроительства» государственного задания в 2025 году – 56,1 млн рублей, в 2026 году – 50,9 млн рублей, в 2027 году – 52,7 млн рублей;</w:t>
      </w:r>
    </w:p>
    <w:p w14:paraId="5D020000">
      <w:pPr>
        <w:ind w:firstLine="709" w:left="0"/>
        <w:jc w:val="both"/>
      </w:pPr>
      <w:r>
        <w:t>финансовое обеспечение выполнения государственным бюджетным учреждением Ростовской области «</w:t>
      </w:r>
      <w:r>
        <w:t>Ростоблгазификация</w:t>
      </w:r>
      <w:r>
        <w:t>» государственного задания в 2025 году – 67,2 млн рублей, в 2026 году – 68,2 млн рублей, в 2027 году – 69,2 млн рублей;</w:t>
      </w:r>
    </w:p>
    <w:p w14:paraId="5E020000">
      <w:pPr>
        <w:ind w:firstLine="709" w:left="0"/>
        <w:jc w:val="both"/>
      </w:pPr>
      <w:r>
        <w:t>финансовое обеспечение выполнения государственным бюджетным учреждением Ростовской области «Центр информационного обеспечения градостроительной деятельности» государственного задания в 2025 году – 85,7 млн рублей, в 2026 году – 48,5 млн рублей, в 2027 году – 49,8 млн рублей;</w:t>
      </w:r>
    </w:p>
    <w:p w14:paraId="5F020000">
      <w:pPr>
        <w:tabs>
          <w:tab w:leader="none" w:pos="709" w:val="left"/>
        </w:tabs>
        <w:ind w:firstLine="709" w:left="0"/>
        <w:jc w:val="both"/>
        <w:outlineLvl w:val="4"/>
      </w:pPr>
      <w:r>
        <w:t>финансовое обеспечение выполнения государственным автономным учреждением Ростовской области «Региональный информационно-аналитический центр» государственного задания в 2025 году – 27,8 млн рублей, в 2026 году – 28,7 млн рублей, в 2027 году – 29,7 млн рублей</w:t>
      </w:r>
      <w:r>
        <w:rPr>
          <w:spacing w:val="-1"/>
        </w:rPr>
        <w:t>;</w:t>
      </w:r>
    </w:p>
    <w:p w14:paraId="60020000">
      <w:pPr>
        <w:ind w:firstLine="709" w:left="0"/>
        <w:jc w:val="both"/>
        <w:outlineLvl w:val="2"/>
      </w:pPr>
      <w:r>
        <w:t>формирование дополнительных региональных информационных ресурсов в экономике и социальной сфере в Ростовской области в виде субсидий на иные цели государственному автономному учреждению Ростовской области «Региональный информационно-аналитический центр» в 2025-2027 годах по 15,8 млн рублей ежегодно;</w:t>
      </w:r>
    </w:p>
    <w:p w14:paraId="61020000">
      <w:pPr>
        <w:ind w:firstLine="709" w:left="0"/>
        <w:jc w:val="both"/>
      </w:pPr>
      <w:r>
        <w:t>финансовое обеспечение деятельности управления государственного надзора за техническим состоянием самоходных машин и других видов техники Ростовской области в 2025 году – 97,9 млн рублей, в 2026 году – 97,5 млн рублей, в 2027 году – 101,2 млн рублей;</w:t>
      </w:r>
    </w:p>
    <w:p w14:paraId="62020000">
      <w:pPr>
        <w:ind w:firstLine="709" w:left="0"/>
        <w:jc w:val="both"/>
      </w:pPr>
      <w:r>
        <w:t>выполнение работ по разработке топливно-энергетического баланса в Ростовской области в 2025-2027 годах – 1,1 млн рублей ежегодно;</w:t>
      </w:r>
    </w:p>
    <w:p w14:paraId="63020000">
      <w:pPr>
        <w:ind w:firstLine="709" w:left="0"/>
        <w:jc w:val="both"/>
      </w:pPr>
      <w:r>
        <w:rPr>
          <w:spacing w:val="-1"/>
        </w:rPr>
        <w:t xml:space="preserve">реализацию мероприятий по обеспечению развития системы добровольной сертификации «Сделано на Дону» </w:t>
      </w:r>
      <w:r>
        <w:t>в 2025-2027 годах по 8,5</w:t>
      </w:r>
      <w:r>
        <w:rPr>
          <w:spacing w:val="-1"/>
        </w:rPr>
        <w:t xml:space="preserve"> млн рублей</w:t>
      </w:r>
      <w:r>
        <w:t xml:space="preserve"> ежегодно, в том числе торжественная церемония вручения знака «Сделано на Дону»</w:t>
      </w:r>
      <w:r>
        <w:rPr>
          <w:spacing w:val="-1"/>
        </w:rPr>
        <w:t xml:space="preserve"> </w:t>
      </w:r>
      <w:r>
        <w:t>– 1,0 млн рублей, гастрономический фестиваль «Сделано на Дону» – 3,0 млн рублей и продвижение системы добровольной сертификации «Сделано на Дону» – 4,5 млн рублей;</w:t>
      </w:r>
    </w:p>
    <w:p w14:paraId="64020000">
      <w:pPr>
        <w:tabs>
          <w:tab w:leader="none" w:pos="709" w:val="left"/>
        </w:tabs>
        <w:ind w:firstLine="709" w:left="0"/>
        <w:jc w:val="both"/>
      </w:pPr>
      <w:r>
        <w:rPr>
          <w:spacing w:val="-1"/>
        </w:rPr>
        <w:t xml:space="preserve">проведение регионального </w:t>
      </w:r>
      <w:r>
        <w:rPr>
          <w:spacing w:val="-1"/>
        </w:rPr>
        <w:t>исследования доли отдельных видов продукции областных производителей</w:t>
      </w:r>
      <w:r>
        <w:rPr>
          <w:spacing w:val="-1"/>
        </w:rPr>
        <w:t xml:space="preserve"> в общем объеме реализации аналогичной продукции в розничной торговой сети</w:t>
      </w:r>
      <w:r>
        <w:t xml:space="preserve"> в 2025-2027 годах по 0,7 млн рублей ежегодно;</w:t>
      </w:r>
    </w:p>
    <w:p w14:paraId="65020000">
      <w:pPr>
        <w:ind w:firstLine="709" w:left="0"/>
        <w:jc w:val="both"/>
      </w:pPr>
      <w:r>
        <w:t xml:space="preserve">развитие и сопровождение цифровой </w:t>
      </w:r>
      <w:r>
        <w:t>инфраструктуры</w:t>
      </w:r>
      <w:r>
        <w:t xml:space="preserve"> и защиту информации управления государственного надзора за техническим состоянием самоходных машин и других видов техники Ростовской области в 2025-2027 годах в сумме 3,8 млн рублей ежегодно;</w:t>
      </w:r>
    </w:p>
    <w:p w14:paraId="66020000">
      <w:pPr>
        <w:ind w:firstLine="709" w:left="0"/>
        <w:jc w:val="both"/>
      </w:pPr>
      <w:r>
        <w:t>мероприятия в сфере защиты прав потребителей в 2025-2027 годах в сумме</w:t>
      </w:r>
      <w:r>
        <w:br/>
      </w:r>
      <w:r>
        <w:t>14,5 млн рублей ежегодно;</w:t>
      </w:r>
    </w:p>
    <w:p w14:paraId="67020000">
      <w:pPr>
        <w:ind w:firstLine="709" w:left="0"/>
        <w:jc w:val="both"/>
      </w:pPr>
      <w:r>
        <w:t>проведение выставочно-ярмарочных мероприятий, конгрессов, форумов, конференций, фестивалей, организацию коллективных экспозиций (стендов) Ростовской области, ежегодно включаемых в перечень приоритетных выставочно-ярмарочных мероприятий, проводимых при поддержке и участии органов исполнительной власти Ростовской области в 2025-2027 годах в сумме 89,1 млн рублей ежегодно;</w:t>
      </w:r>
    </w:p>
    <w:p w14:paraId="68020000">
      <w:pPr>
        <w:ind w:firstLine="709" w:left="0"/>
        <w:jc w:val="both"/>
      </w:pPr>
      <w:r>
        <w:t>мероприятия по развитию въездного и внутреннего туризма в Ростовской области и повышению конкурентоспособности регионального туристского продукта в 2025-2027 годах в сумме 0,6 млн рублей ежегодно;</w:t>
      </w:r>
    </w:p>
    <w:p w14:paraId="69020000">
      <w:pPr>
        <w:ind w:firstLine="709" w:left="0"/>
        <w:jc w:val="both"/>
      </w:pPr>
      <w:r>
        <w:t>организацию процесса создания благоприятной среды для инвестиций административной среды на территории Ростовской области в 2025-2027 годах в сумме 39,2 млн рублей ежегодно.</w:t>
      </w:r>
    </w:p>
    <w:p w14:paraId="6A020000">
      <w:pPr>
        <w:ind/>
        <w:outlineLvl w:val="2"/>
        <w:rPr>
          <w:b w:val="1"/>
        </w:rPr>
      </w:pPr>
    </w:p>
    <w:p w14:paraId="6B020000">
      <w:pPr>
        <w:ind/>
        <w:jc w:val="center"/>
        <w:outlineLvl w:val="2"/>
        <w:rPr>
          <w:b w:val="1"/>
        </w:rPr>
      </w:pPr>
      <w:r>
        <w:rPr>
          <w:b w:val="1"/>
        </w:rPr>
        <w:t>РАЗДЕЛ</w:t>
      </w:r>
    </w:p>
    <w:p w14:paraId="6C020000">
      <w:pPr>
        <w:widowControl w:val="0"/>
        <w:ind/>
        <w:jc w:val="center"/>
        <w:rPr>
          <w:b w:val="1"/>
        </w:rPr>
      </w:pPr>
      <w:r>
        <w:rPr>
          <w:b w:val="1"/>
        </w:rPr>
        <w:t>«ЖИЛИЩНО-КОММУНАЛЬНОЕ ХОЗЯЙСТВО»</w:t>
      </w:r>
    </w:p>
    <w:p w14:paraId="6D020000">
      <w:pPr>
        <w:widowControl w:val="0"/>
        <w:ind/>
        <w:jc w:val="center"/>
        <w:rPr>
          <w:b w:val="1"/>
        </w:rPr>
      </w:pPr>
    </w:p>
    <w:p w14:paraId="6E020000">
      <w:pPr>
        <w:ind w:firstLine="708" w:left="0"/>
        <w:jc w:val="both"/>
        <w:outlineLvl w:val="0"/>
      </w:pPr>
      <w:r>
        <w:t>В проекте областного бюджета по разделу «Жилищно-коммунальное хозяйство» предусмотрены бюджетные ассигнования в 2025 году – 16 904,0 млн рублей, в 2026 году – 5 411,7 млн рублей и в 2027 году – 2 986,0 млн рублей.</w:t>
      </w:r>
    </w:p>
    <w:p w14:paraId="6F020000">
      <w:pPr>
        <w:ind w:firstLine="708" w:left="0"/>
        <w:jc w:val="both"/>
        <w:outlineLvl w:val="0"/>
      </w:pPr>
      <w:r>
        <w:t xml:space="preserve">Расходы по данному разделу будут направлены </w:t>
      </w:r>
      <w:r>
        <w:t>на</w:t>
      </w:r>
      <w:r>
        <w:t>:</w:t>
      </w:r>
    </w:p>
    <w:p w14:paraId="70020000">
      <w:pPr>
        <w:ind w:firstLine="709" w:left="0"/>
        <w:jc w:val="both"/>
        <w:outlineLvl w:val="0"/>
      </w:pPr>
      <w:r>
        <w:t>финансовое обеспечение деятельности министерства жилищно-коммунального хозяйства Ростовской области, Региональной службы государственного строительного надзора Ростовской области, Государственной жилищной инспекции Ростовской области, Административной инспекции Ростовской области в 2025 году – 587,6 млн рублей, в 2026 году – 609,2 млн рублей, в 2027 году – 631,9 млн рублей;</w:t>
      </w:r>
    </w:p>
    <w:p w14:paraId="71020000">
      <w:pPr>
        <w:ind w:firstLine="709" w:left="0"/>
        <w:jc w:val="both"/>
        <w:outlineLvl w:val="0"/>
      </w:pPr>
      <w:r>
        <w:t xml:space="preserve">развитие и сопровождение цифровой </w:t>
      </w:r>
      <w:r>
        <w:t>инфраструктуры</w:t>
      </w:r>
      <w:r>
        <w:t xml:space="preserve"> и защиту информации в 2025-2027 годах в сумме 9,4 млн рублей ежегодно;</w:t>
      </w:r>
    </w:p>
    <w:p w14:paraId="72020000">
      <w:pPr>
        <w:ind w:firstLine="709" w:left="0"/>
        <w:jc w:val="both"/>
      </w:pPr>
      <w:r>
        <w:t>финансовое обеспечение уставной деятельности унитарной некоммерческой организации «Ростовский областной фонд защиты прав участников долевого строительства» в 2025 году – 26,3 млн рублей;</w:t>
      </w:r>
    </w:p>
    <w:p w14:paraId="73020000">
      <w:pPr>
        <w:ind w:firstLine="709" w:left="0"/>
        <w:jc w:val="both"/>
        <w:outlineLvl w:val="0"/>
      </w:pPr>
      <w:r>
        <w:t>содержание некоммерческой организации «Ростовский областной общественно полезный фонд содействия капитальному ремонту» в 2025-2027 годах в сумме 275,9 млн рублей ежегодно;</w:t>
      </w:r>
    </w:p>
    <w:p w14:paraId="74020000">
      <w:pPr>
        <w:ind w:firstLine="709" w:left="0"/>
        <w:jc w:val="both"/>
        <w:outlineLvl w:val="0"/>
      </w:pPr>
      <w:r>
        <w:t xml:space="preserve">возмещение предприятиям жилищно-коммунального хозяйства разницы между экономически обоснованными тарифами и платежами населения за коммунальные услуги по водоснабжению и водоотведению в 2025 году в сумме </w:t>
      </w:r>
      <w:r>
        <w:br/>
      </w:r>
      <w:r>
        <w:t>4 327,5 млн рублей, в 2026-2027 годах по 496,9 млн рублей ежегодно, а также за коммунальные услуги по теплоснабжению и горячему водоснабжению в 2025 году в сумме 4 702,7 млн рублей, в 2026-2027 годах по 897,7</w:t>
      </w:r>
      <w:r>
        <w:t xml:space="preserve"> млн рублей ежегодно;</w:t>
      </w:r>
    </w:p>
    <w:p w14:paraId="75020000">
      <w:pPr>
        <w:ind w:firstLine="709" w:left="0"/>
        <w:jc w:val="both"/>
        <w:outlineLvl w:val="0"/>
      </w:pPr>
      <w:r>
        <w:t>разработку проектно-сметной документации на рекультивацию загрязненных земельных участков (полигонов ТКО) в 2025 году – 4,1 млн рублей;</w:t>
      </w:r>
    </w:p>
    <w:p w14:paraId="76020000">
      <w:pPr>
        <w:ind w:firstLine="709" w:left="0"/>
        <w:jc w:val="both"/>
        <w:outlineLvl w:val="0"/>
      </w:pPr>
      <w:r>
        <w:t>рекультивацию загрязненных земельных участков (полигонов ТКО) в 2025 году – 10,9 млн рублей;</w:t>
      </w:r>
    </w:p>
    <w:p w14:paraId="77020000">
      <w:pPr>
        <w:ind w:firstLine="709" w:left="0"/>
        <w:jc w:val="both"/>
        <w:outlineLvl w:val="0"/>
      </w:pPr>
      <w:r>
        <w:t>реализацию мероприятий по формированию современной городской среды в части благоустройства общественных территорий населенных пунктов в 2025 году – 161,1 млн рублей;</w:t>
      </w:r>
    </w:p>
    <w:p w14:paraId="78020000">
      <w:pPr>
        <w:ind w:firstLine="709" w:left="0"/>
        <w:jc w:val="both"/>
      </w:pPr>
      <w:r>
        <w:t>капитальный ремонт многоквартирных домов в 2025 году – 500,6 млн рублей, в 2026 году – 100,0 млн рублей;</w:t>
      </w:r>
    </w:p>
    <w:p w14:paraId="79020000">
      <w:pPr>
        <w:ind w:firstLine="709" w:left="0"/>
        <w:jc w:val="both"/>
      </w:pPr>
      <w:r>
        <w:t>уплату взносов на капитальный ремонт общего имущества многоквартирных домов по помещениям, находящимся в собственности Ростовской области, в 2025-2027 годах по 6,7 млн рублей ежегодно;</w:t>
      </w:r>
    </w:p>
    <w:p w14:paraId="7A020000">
      <w:pPr>
        <w:ind w:firstLine="709" w:left="0"/>
        <w:jc w:val="both"/>
      </w:pPr>
      <w:r>
        <w:t xml:space="preserve">ликвидацию аварийного жилищного фонда в 2025 году – 966,8 млн рублей, в 2026-2027 годах по  630,2 млн рублей ежегодно; </w:t>
      </w:r>
    </w:p>
    <w:p w14:paraId="7B020000">
      <w:pPr>
        <w:ind w:firstLine="709" w:left="0"/>
        <w:jc w:val="both"/>
        <w:rPr>
          <w:spacing w:val="-4"/>
        </w:rPr>
      </w:pPr>
      <w:r>
        <w:rPr>
          <w:spacing w:val="-4"/>
        </w:rPr>
        <w:t>предоставление субсидии акционерному обществу «ДОМ</w:t>
      </w:r>
      <w:r>
        <w:rPr>
          <w:spacing w:val="-4"/>
        </w:rPr>
        <w:t>.Р</w:t>
      </w:r>
      <w:r>
        <w:rPr>
          <w:spacing w:val="-4"/>
        </w:rPr>
        <w:t>Ф»                                на компенсацию затрат, возникающих в результате возмещения кредитным организациям недополученных доходов в связи с предоставлением гражданам ипотечных кредитов (займов) на приобретение (строительство) жилья на условиях льготного ипотечного кредитования в 2025-2027 годах по 26,5 млн рублей ежегодно;</w:t>
      </w:r>
    </w:p>
    <w:p w14:paraId="7C020000">
      <w:pPr>
        <w:ind w:firstLine="709" w:left="0"/>
        <w:jc w:val="both"/>
      </w:pPr>
      <w:r>
        <w:t>предоставление субсидии организациям, осуществляющим деятельность                       в сфере жилищно-коммунального хозяйства, на создание, ведение, обслуживание, сопровождение, наполнение и интеграцию баз данных жилищно-коммунального хозяйства Ростовской области и их программного обеспечения и на создание и сопровождение цифровой платформы вовлечения граждан в решение вопросов городского развития в 2025-2027 годах по 8,2 млн рублей ежегодно;</w:t>
      </w:r>
    </w:p>
    <w:p w14:paraId="7D020000">
      <w:pPr>
        <w:ind w:firstLine="709" w:left="0"/>
        <w:jc w:val="both"/>
      </w:pPr>
      <w:r>
        <w:t xml:space="preserve">продолжение строительства объектов водопроводно-канализационного хозяйства государственной собственности в Каменском районе и </w:t>
      </w:r>
      <w:r>
        <w:t>г</w:t>
      </w:r>
      <w:r>
        <w:t xml:space="preserve">. Зверево, а также на новое строительство подводящих сетей водоснабжения и водоотведения к микрорайону для многодетных семей юго-западной части г. Азова в 2025 году – 1 600,1 млн рублей, в 2026 году – 635,0 млн рублей; </w:t>
      </w:r>
    </w:p>
    <w:p w14:paraId="7E020000">
      <w:pPr>
        <w:ind w:firstLine="709" w:left="0"/>
        <w:jc w:val="both"/>
        <w:outlineLvl w:val="0"/>
      </w:pPr>
      <w:r>
        <w:t xml:space="preserve">завершение строительства и реконструкции объектов водопроводно-канализационного хозяйства муниципальной собственности в </w:t>
      </w:r>
      <w:r>
        <w:t>Мясниковском</w:t>
      </w:r>
      <w:r>
        <w:t xml:space="preserve">, Сальском, </w:t>
      </w:r>
      <w:r>
        <w:t>Целинском</w:t>
      </w:r>
      <w:r>
        <w:t xml:space="preserve"> районах и </w:t>
      </w:r>
      <w:r>
        <w:t>г</w:t>
      </w:r>
      <w:r>
        <w:t>. Шахты в 2025 году – 327,2 млн рублей.</w:t>
      </w:r>
    </w:p>
    <w:p w14:paraId="7F020000">
      <w:pPr>
        <w:ind w:firstLine="709" w:left="0"/>
        <w:jc w:val="both"/>
        <w:outlineLvl w:val="0"/>
      </w:pPr>
      <w:r>
        <w:t xml:space="preserve">Кроме того, предусмотрены средства на продолжение работ </w:t>
      </w:r>
      <w:r>
        <w:t>по</w:t>
      </w:r>
      <w:r>
        <w:t>:</w:t>
      </w:r>
    </w:p>
    <w:p w14:paraId="80020000">
      <w:pPr>
        <w:widowControl w:val="0"/>
        <w:ind w:firstLine="709" w:left="0"/>
        <w:jc w:val="both"/>
      </w:pPr>
      <w:r>
        <w:t xml:space="preserve">капитальному ремонту сетей водоснабжения в </w:t>
      </w:r>
      <w:r>
        <w:t>г</w:t>
      </w:r>
      <w:r>
        <w:t>. Шахты и восстановление аварийного участка самотечного коллектора в г. Таганроге в 2025 году в сумме 756,2 млн рублей;</w:t>
      </w:r>
    </w:p>
    <w:p w14:paraId="81020000">
      <w:pPr>
        <w:widowControl w:val="0"/>
        <w:ind w:firstLine="709" w:left="0"/>
        <w:jc w:val="both"/>
      </w:pPr>
      <w:r>
        <w:t xml:space="preserve">технологическому присоединению к централизованной системе холодного водоснабжения в </w:t>
      </w:r>
      <w:r>
        <w:t>Неклиновском</w:t>
      </w:r>
      <w:r>
        <w:t xml:space="preserve"> и Усть-Донецком районах в 2025 году в сумме 283,3 млн рублей;</w:t>
      </w:r>
    </w:p>
    <w:p w14:paraId="82020000">
      <w:pPr>
        <w:ind w:firstLine="709" w:left="0"/>
        <w:jc w:val="both"/>
        <w:outlineLvl w:val="0"/>
      </w:pPr>
      <w:r>
        <w:t>разработке проектной документации на объекты водопроводно-канализационного хозяйства в 2025 и 2026 годах в сумме 60,1 млн рублей и 150,2 млн рублей, соответственно.</w:t>
      </w:r>
    </w:p>
    <w:p w14:paraId="83020000">
      <w:pPr>
        <w:ind w:firstLine="709" w:left="0"/>
        <w:jc w:val="both"/>
      </w:pPr>
      <w:r>
        <w:t xml:space="preserve">Предусмотренные по разделу расходы в 2025 году в сумме 2 260,2 млн рублей и в 2026 году – 1 563,2 млн рублей позволят повысить уровень и качество жизни сельского населения и завершить работы по строительству, реконструкции, капитальному ремонту и проектированию объектов водоснабжения, а также по обустройству объектами инженерной инфраструктуры, расположенных на сельских территориях под компактную жилищную застройку в </w:t>
      </w:r>
      <w:r>
        <w:t>Боковском</w:t>
      </w:r>
      <w:r>
        <w:t xml:space="preserve">, </w:t>
      </w:r>
      <w:r>
        <w:t>Верхнедонском</w:t>
      </w:r>
      <w:r>
        <w:t>, Веселовском</w:t>
      </w:r>
      <w:r>
        <w:t xml:space="preserve">, </w:t>
      </w:r>
      <w:r>
        <w:t>Миллеровском</w:t>
      </w:r>
      <w:r>
        <w:t xml:space="preserve">, </w:t>
      </w:r>
      <w:r>
        <w:t>Неклиновском</w:t>
      </w:r>
      <w:r>
        <w:t xml:space="preserve">, </w:t>
      </w:r>
      <w:r>
        <w:t>Тарасовском</w:t>
      </w:r>
      <w:r>
        <w:t xml:space="preserve">, </w:t>
      </w:r>
      <w:r>
        <w:t>Целинском</w:t>
      </w:r>
      <w:r>
        <w:t xml:space="preserve"> и Шолоховском районах.</w:t>
      </w:r>
    </w:p>
    <w:p w14:paraId="84020000">
      <w:pPr>
        <w:ind w:firstLine="709" w:left="0"/>
        <w:jc w:val="both"/>
      </w:pPr>
      <w:r>
        <w:t xml:space="preserve">Из вышеуказанных расходов бюджетные ассигнования в сумме 886,9 млн рублей и 237,9 млн рублей на 2025 и 2026 годы, соответственно, будут направлены на создание инфраструктуры на земельных участках, предоставляемых многодетным семьям, в </w:t>
      </w:r>
      <w:r>
        <w:t>Боковском</w:t>
      </w:r>
      <w:r>
        <w:t xml:space="preserve">, Веселовском, </w:t>
      </w:r>
      <w:r>
        <w:t>Верхнедонском</w:t>
      </w:r>
      <w:r>
        <w:t xml:space="preserve">, Сальском, Тарасовском, Тацинском, </w:t>
      </w:r>
      <w:r>
        <w:t>Целинском</w:t>
      </w:r>
      <w:r>
        <w:t xml:space="preserve"> районах и </w:t>
      </w:r>
      <w:r>
        <w:t>г</w:t>
      </w:r>
      <w:r>
        <w:t>. Азове путем строительства, реконструкции и проектирования объектов.</w:t>
      </w:r>
    </w:p>
    <w:p w14:paraId="85020000">
      <w:pPr>
        <w:ind/>
        <w:outlineLvl w:val="2"/>
      </w:pPr>
    </w:p>
    <w:p w14:paraId="86020000">
      <w:pPr>
        <w:ind/>
        <w:jc w:val="center"/>
        <w:outlineLvl w:val="2"/>
        <w:rPr>
          <w:b w:val="1"/>
        </w:rPr>
      </w:pPr>
      <w:r>
        <w:rPr>
          <w:b w:val="1"/>
        </w:rPr>
        <w:t>РАЗДЕЛ</w:t>
      </w:r>
    </w:p>
    <w:p w14:paraId="87020000">
      <w:pPr>
        <w:ind/>
        <w:jc w:val="center"/>
        <w:outlineLvl w:val="0"/>
        <w:rPr>
          <w:b w:val="1"/>
        </w:rPr>
      </w:pPr>
      <w:r>
        <w:rPr>
          <w:b w:val="1"/>
        </w:rPr>
        <w:t>«ОХРАНА ОКРУЖАЮЩЕЙ СРЕДЫ»</w:t>
      </w:r>
    </w:p>
    <w:p w14:paraId="88020000">
      <w:pPr>
        <w:ind/>
        <w:jc w:val="center"/>
        <w:outlineLvl w:val="0"/>
        <w:rPr>
          <w:b w:val="1"/>
        </w:rPr>
      </w:pPr>
    </w:p>
    <w:p w14:paraId="89020000">
      <w:pPr>
        <w:ind w:firstLine="709" w:left="0"/>
        <w:jc w:val="both"/>
        <w:outlineLvl w:val="0"/>
      </w:pPr>
      <w:r>
        <w:t>В проекте областного бюджета по разделу «Охрана окружающей среды» предусмотрены бюджетные ассигнования в сумме 448,8 млн рублей на 2025 год, 464,9 млн рублей на 2026 год, 455,3 млн рублей на 2027 год.</w:t>
      </w:r>
    </w:p>
    <w:p w14:paraId="8A020000">
      <w:pPr>
        <w:ind w:firstLine="709" w:left="0"/>
        <w:jc w:val="both"/>
        <w:outlineLvl w:val="0"/>
      </w:pPr>
      <w:r>
        <w:t xml:space="preserve">По данному разделу предусмотрены бюджетные ассигнования </w:t>
      </w:r>
      <w:r>
        <w:t>на</w:t>
      </w:r>
      <w:r>
        <w:t>:</w:t>
      </w:r>
    </w:p>
    <w:p w14:paraId="8B020000">
      <w:pPr>
        <w:ind w:firstLine="709" w:left="0"/>
        <w:jc w:val="both"/>
        <w:outlineLvl w:val="0"/>
      </w:pPr>
      <w:r>
        <w:t>финансовое обеспечение деятельности министерства природных ресурсов и экологии Ростовской области в 2025 году в сумме 347,5 млн рублей, в 2026 году – 361,5 млн рублей, в 2027 году – 376,3 млн рублей;</w:t>
      </w:r>
    </w:p>
    <w:p w14:paraId="8C020000">
      <w:pPr>
        <w:ind w:firstLine="709" w:left="0"/>
        <w:jc w:val="both"/>
      </w:pPr>
      <w:r>
        <w:t>финансовое обеспечение выполнения государственного задания государственным бюджетным учреждением Ростовской области «Дирекция особо охраняемых природных территорий областного значения» в 2025 году – 50,7 млн рублей, в 2026 году – 51,8 млн рублей, в 2027 году – 53,2 млн рублей;</w:t>
      </w:r>
    </w:p>
    <w:p w14:paraId="8D020000">
      <w:pPr>
        <w:ind w:firstLine="709" w:left="0"/>
        <w:jc w:val="both"/>
        <w:outlineLvl w:val="0"/>
        <w:rPr>
          <w:b w:val="1"/>
        </w:rPr>
      </w:pPr>
      <w:r>
        <w:t xml:space="preserve">развитие и сопровождение цифровой </w:t>
      </w:r>
      <w:r>
        <w:t>инфраструктуры</w:t>
      </w:r>
      <w:r>
        <w:t xml:space="preserve"> и защиту информации министерства природных ресурсов и экологии Ростовской области в 2025-2027 годах по 3,4 млн рублей ежегодно;</w:t>
      </w:r>
    </w:p>
    <w:p w14:paraId="8E020000">
      <w:pPr>
        <w:ind w:firstLine="709" w:left="0"/>
        <w:jc w:val="both"/>
      </w:pPr>
      <w:r>
        <w:t xml:space="preserve">осуществление переданных полномочий Российской Федерации в области охраны и использования охотничьих ресурсов в 2025 году в сумме 24,7 млн рублей, в 2026 году – 25,6  млн рублей; </w:t>
      </w:r>
    </w:p>
    <w:p w14:paraId="8F020000">
      <w:pPr>
        <w:ind w:firstLine="709" w:left="0"/>
        <w:jc w:val="both"/>
        <w:outlineLvl w:val="0"/>
      </w:pPr>
      <w:r>
        <w:t xml:space="preserve">осуществление регионального государственного экологического надзора и государственной экологической экспертизы в 2025 году – 1,5 млн рублей,              в 2026-2027 годах в сумме 1,7 млн рублей ежегодно; </w:t>
      </w:r>
    </w:p>
    <w:p w14:paraId="90020000">
      <w:pPr>
        <w:ind w:firstLine="709" w:left="0"/>
        <w:jc w:val="both"/>
      </w:pPr>
      <w:r>
        <w:t xml:space="preserve">мониторинг состояния окружающей среды, включая проведение мероприятий по учету и контролю радиоактивных веществ и радиоактивных отходов в организациях, расположенных на территории Ростовской области, сопровождение информационной системы «Региональный кадастр отходов производства и потребления», а также проведение мониторинга состояния захоронения пестицидов и </w:t>
      </w:r>
      <w:r>
        <w:t>агрохимикатов</w:t>
      </w:r>
      <w:r>
        <w:t>, в 2025-2027 годах по 12,2 млн рублей ежегодно;</w:t>
      </w:r>
    </w:p>
    <w:p w14:paraId="91020000">
      <w:pPr>
        <w:ind w:firstLine="709" w:left="0"/>
        <w:jc w:val="both"/>
      </w:pPr>
      <w:r>
        <w:rPr>
          <w:spacing w:val="-1"/>
        </w:rPr>
        <w:t xml:space="preserve">создание условий для сохранения и воспроизводства объектов животного мира, сохранение редких и находящихся под угрозой исчезновения объектов животного и растительного мира, в том числе ведение Красной книги Ростовской области, </w:t>
      </w:r>
      <w:r>
        <w:t>в 2025 и 2026 годах по 4,3 млн рублей ежегодно, в 2027 году – 4,1 млн рублей;</w:t>
      </w:r>
    </w:p>
    <w:p w14:paraId="92020000">
      <w:pPr>
        <w:ind w:firstLine="709" w:left="0"/>
        <w:jc w:val="both"/>
      </w:pPr>
      <w:r>
        <w:t>реализацию мероприятий по обеспечению роста уровня экологической культуры населения, формированию ответственного отношения к природе, в том числе у подрастающего поколения в 2025-2027 годах по 2,9 млн рублей ежегодно;</w:t>
      </w:r>
    </w:p>
    <w:p w14:paraId="93020000">
      <w:pPr>
        <w:ind w:firstLine="709" w:left="0"/>
        <w:jc w:val="both"/>
      </w:pPr>
      <w:r>
        <w:t>сопровождение территориальной схемы обращения с отходами Ростовской области в 2025-2027 годах  по 1,5 млн рублей ежегодно.</w:t>
      </w:r>
    </w:p>
    <w:p w14:paraId="94020000">
      <w:pPr>
        <w:rPr>
          <w:b w:val="1"/>
        </w:rPr>
      </w:pPr>
    </w:p>
    <w:p w14:paraId="95020000">
      <w:pPr>
        <w:ind/>
        <w:jc w:val="center"/>
        <w:outlineLvl w:val="2"/>
        <w:rPr>
          <w:b w:val="1"/>
        </w:rPr>
      </w:pPr>
      <w:r>
        <w:rPr>
          <w:b w:val="1"/>
        </w:rPr>
        <w:t>РАЗДЕЛ</w:t>
      </w:r>
    </w:p>
    <w:p w14:paraId="96020000">
      <w:pPr>
        <w:ind/>
        <w:jc w:val="center"/>
        <w:outlineLvl w:val="2"/>
        <w:rPr>
          <w:b w:val="1"/>
        </w:rPr>
      </w:pPr>
      <w:r>
        <w:rPr>
          <w:b w:val="1"/>
        </w:rPr>
        <w:t>«ОБРАЗОВАНИЕ»</w:t>
      </w:r>
    </w:p>
    <w:p w14:paraId="97020000">
      <w:pPr>
        <w:ind/>
        <w:jc w:val="center"/>
        <w:outlineLvl w:val="2"/>
      </w:pPr>
    </w:p>
    <w:p w14:paraId="98020000">
      <w:pPr>
        <w:ind w:firstLine="709" w:left="0"/>
        <w:jc w:val="both"/>
        <w:outlineLvl w:val="0"/>
      </w:pPr>
      <w:r>
        <w:t>В проекте областного бюджета по разделу «Образование» предусмотрены бюджетные ассигнования в 2025 году – 86 850,8 млн рублей, в 2026 году – 80 564,1 млн рублей и в 2027 году – 80 383,4 млн рублей.</w:t>
      </w:r>
    </w:p>
    <w:p w14:paraId="99020000">
      <w:pPr>
        <w:ind w:firstLine="709" w:left="0"/>
        <w:jc w:val="both"/>
        <w:outlineLvl w:val="0"/>
        <w:rPr>
          <w:color w:themeColor="text1" w:val="000000"/>
        </w:rPr>
      </w:pPr>
      <w:r>
        <w:rPr>
          <w:color w:themeColor="text1" w:val="000000"/>
        </w:rPr>
        <w:t xml:space="preserve">Основными направлениями расходов в отрасли являются полномочия по созданию условий и обеспечению получения общедоступного и бесплатного дошкольного, </w:t>
      </w:r>
      <w:r>
        <w:t xml:space="preserve">начального общего, основного общего, среднего общего образования </w:t>
      </w:r>
      <w:r>
        <w:rPr>
          <w:color w:themeColor="text1" w:val="000000"/>
        </w:rPr>
        <w:t>и среднего профессионального образования в государственных или муниципальных образовательных учреждениях.</w:t>
      </w:r>
    </w:p>
    <w:p w14:paraId="9A020000">
      <w:pPr>
        <w:ind w:firstLine="709" w:left="0"/>
        <w:jc w:val="both"/>
      </w:pPr>
      <w:r>
        <w:t>На финансовое обеспечение государственных организаций в сфере образования</w:t>
      </w:r>
      <w:r>
        <w:rPr>
          <w:color w:themeColor="text1" w:val="000000"/>
        </w:rPr>
        <w:t>, включая выполнение государственного задания, законопроектом предусмотрено в 2025 году – 13 214,6 млн рублей, в 2026 году –13 513,7 млн рублей, в 2027 году – 13 828,5 млн рублей.</w:t>
      </w:r>
    </w:p>
    <w:p w14:paraId="9B020000">
      <w:pPr>
        <w:ind w:firstLine="709" w:left="0"/>
        <w:jc w:val="both"/>
        <w:outlineLvl w:val="0"/>
      </w:pPr>
      <w:r>
        <w:t>Полномочия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w:t>
      </w:r>
      <w:r>
        <w:t xml:space="preserve"> содержание зданий и оплату коммунальных услуг) </w:t>
      </w:r>
      <w:r>
        <w:t>переданы</w:t>
      </w:r>
      <w:r>
        <w:t xml:space="preserve"> муниципальным образованиям. </w:t>
      </w:r>
      <w:r>
        <w:rPr>
          <w:color w:themeColor="text1" w:val="000000"/>
        </w:rPr>
        <w:t>Финансовое обеспечение соответствующих расходов обеспечивается за счет сре</w:t>
      </w:r>
      <w:r>
        <w:rPr>
          <w:color w:themeColor="text1" w:val="000000"/>
        </w:rPr>
        <w:t>дств пр</w:t>
      </w:r>
      <w:r>
        <w:rPr>
          <w:color w:themeColor="text1" w:val="000000"/>
        </w:rPr>
        <w:t xml:space="preserve">едоставляемой бюджетам районов и городских округов субвенции в </w:t>
      </w:r>
      <w:r>
        <w:t xml:space="preserve">2025 году в сумме </w:t>
      </w:r>
      <w:r>
        <w:br/>
      </w:r>
      <w:r>
        <w:t xml:space="preserve">51 579,1 млн рублей, в 2026 году – 54 325,0 млн рублей, в 2027 году – </w:t>
      </w:r>
      <w:r>
        <w:br/>
      </w:r>
      <w:r>
        <w:t>56 274,7 млн рублей.</w:t>
      </w:r>
    </w:p>
    <w:p w14:paraId="9C020000">
      <w:pPr>
        <w:ind w:firstLine="709" w:left="0"/>
        <w:jc w:val="both"/>
      </w:pPr>
      <w:r>
        <w:t>В частных детских садах и школах финансовое обеспечение осуществляется посредством предоставления указанным образовательным организациям и индивидуальным предпринимателям субсидий на возмещение затрат. В предстоящей трехлетке на данные цели запланировано в 2025 году – 599,9 млн рублей, в 2026 году – 623,1 млн рублей, в 2027 году – 647,8 млн рублей.</w:t>
      </w:r>
    </w:p>
    <w:p w14:paraId="9D020000">
      <w:pPr>
        <w:ind w:firstLine="708" w:left="0"/>
        <w:jc w:val="both"/>
      </w:pPr>
      <w:r>
        <w:t>Для выявления и поддержки одаренных детей проектом областного бюджета предусмотрены ассигнования в 2025-2027 годах по 31,6 млн рублей ежегодно на функционирование детских технопарков «</w:t>
      </w:r>
      <w:r>
        <w:t>Кванториум</w:t>
      </w:r>
      <w:r>
        <w:t>» и проведение мероприятий Центром выявления и поддержки одаренных детей «Ступени успеха».</w:t>
      </w:r>
    </w:p>
    <w:p w14:paraId="9E020000">
      <w:pPr>
        <w:ind w:firstLine="709" w:left="0"/>
        <w:jc w:val="both"/>
      </w:pPr>
      <w:r>
        <w:t xml:space="preserve">В целях </w:t>
      </w:r>
      <w:r>
        <w:t>здоровьесбережения</w:t>
      </w:r>
      <w:r>
        <w:t xml:space="preserve"> обучающихся и социальной поддержки отдельных категорий населения предусмотрены мероприятия по обеспечению обучающихся горячим питанием в 2025 году в сумме 3 267,0 млн рублей, в 2026 году – 3 268,5 млн рублей, в 2027 году – 3 280,5 млн рублей, в том числе по категориям обучающихся:</w:t>
      </w:r>
    </w:p>
    <w:p w14:paraId="9F020000">
      <w:pPr>
        <w:ind w:firstLine="709" w:left="0"/>
        <w:jc w:val="both"/>
        <w:rPr>
          <w:spacing w:val="-1"/>
        </w:rPr>
      </w:pPr>
      <w:r>
        <w:rPr>
          <w:spacing w:val="-1"/>
        </w:rPr>
        <w:t>дети, получающие начальное образование в государственных, муниципальных и частных</w:t>
      </w:r>
      <w:r>
        <w:rPr>
          <w:spacing w:val="-1"/>
          <w:sz w:val="24"/>
        </w:rPr>
        <w:t xml:space="preserve"> </w:t>
      </w:r>
      <w:r>
        <w:rPr>
          <w:spacing w:val="-1"/>
        </w:rPr>
        <w:t>общеобразовательных организациях в 2025 году в</w:t>
      </w:r>
      <w:r>
        <w:t> </w:t>
      </w:r>
      <w:r>
        <w:rPr>
          <w:spacing w:val="-1"/>
        </w:rPr>
        <w:t>сумме 2 396,4 млн рублей, в 2026 году – 2 362,9 млн рублей, в 2027 году – 2 362,9 млн рублей</w:t>
      </w:r>
      <w:r>
        <w:t>;</w:t>
      </w:r>
    </w:p>
    <w:p w14:paraId="A0020000">
      <w:pPr>
        <w:ind w:firstLine="709" w:left="0"/>
        <w:jc w:val="both"/>
        <w:rPr>
          <w:shd w:fill="4BF357" w:val="clear"/>
        </w:rPr>
      </w:pPr>
      <w:r>
        <w:rPr>
          <w:color w:themeColor="text1" w:val="000000"/>
        </w:rPr>
        <w:t xml:space="preserve">дети из многодетных семей, обучающиеся в образовательных организациях, в целях реализации Указа Президента Российской Федерации от 23.01.2024 № 63 «О мерах социальной поддержки многодетных семей» </w:t>
      </w:r>
      <w:r>
        <w:rPr>
          <w:spacing w:val="-1"/>
        </w:rPr>
        <w:t>в 2025 году в сумме 491,0 млн рублей, в 2026 году – 510,7 млн рублей, в 2027 году – 506,9 млн рублей</w:t>
      </w:r>
      <w:r>
        <w:t>;</w:t>
      </w:r>
    </w:p>
    <w:p w14:paraId="A1020000">
      <w:pPr>
        <w:ind w:firstLine="709" w:left="0"/>
        <w:jc w:val="both"/>
      </w:pPr>
      <w:r>
        <w:rPr>
          <w:spacing w:val="-1"/>
        </w:rPr>
        <w:t xml:space="preserve">обучающиеся по очной форме </w:t>
      </w:r>
      <w:r>
        <w:rPr>
          <w:spacing w:val="-1"/>
        </w:rPr>
        <w:t>обучения по программам</w:t>
      </w:r>
      <w:r>
        <w:rPr>
          <w:spacing w:val="-1"/>
        </w:rPr>
        <w:t xml:space="preserve"> подготовки квалифицированных рабочих (служащих) в государственных профессиональных образовательных учреждениях, а также </w:t>
      </w:r>
      <w:r>
        <w:t xml:space="preserve"> </w:t>
      </w:r>
      <w:r>
        <w:rPr>
          <w:spacing w:val="-1"/>
        </w:rPr>
        <w:t>обучающиеся с ОВЗ, не находящиеся на полном государственном обеспечении в 2025 году в сумме 362,1 млн рублей, в 2026 году –376,7 млн рублей, в 2027 году – 391,8 млн рублей</w:t>
      </w:r>
      <w:r>
        <w:t>;</w:t>
      </w:r>
    </w:p>
    <w:p w14:paraId="A2020000">
      <w:pPr>
        <w:ind w:firstLine="709" w:left="0"/>
        <w:jc w:val="both"/>
      </w:pPr>
      <w:r>
        <w:rPr>
          <w:color w:themeColor="text1" w:val="000000"/>
        </w:rPr>
        <w:t>дети</w:t>
      </w:r>
      <w:r>
        <w:t xml:space="preserve"> участников специальной военной операции, обучающиеся в образовательных организациях, в целях </w:t>
      </w:r>
      <w:r>
        <w:t>совершенствования системы мер социальной поддержки членов семей участников специальной военной операции</w:t>
      </w:r>
      <w:r>
        <w:rPr>
          <w:shd w:fill="4BF357" w:val="clear"/>
        </w:rPr>
        <w:t xml:space="preserve"> </w:t>
      </w:r>
      <w:r>
        <w:rPr>
          <w:spacing w:val="-1"/>
        </w:rPr>
        <w:t>в 2025 году в сумме 17,5 млн рублей, в 2026 году – 18,2 млн рублей, в 2027 году – 18,9 млн рублей</w:t>
      </w:r>
      <w:r>
        <w:t>.</w:t>
      </w:r>
    </w:p>
    <w:p w14:paraId="A3020000">
      <w:pPr>
        <w:ind w:firstLine="709" w:left="0"/>
        <w:jc w:val="both"/>
        <w:outlineLvl w:val="0"/>
      </w:pPr>
      <w:r>
        <w:t xml:space="preserve">Также расходы по разделу будут направлены </w:t>
      </w:r>
      <w:r>
        <w:t>на</w:t>
      </w:r>
      <w:r>
        <w:t>:</w:t>
      </w:r>
    </w:p>
    <w:p w14:paraId="A4020000">
      <w:pPr>
        <w:ind w:firstLine="709" w:left="0"/>
        <w:jc w:val="both"/>
      </w:pPr>
      <w:r>
        <w:t>финансовое обеспечение деятельности министерства общего и профессионального образования Ростовской области, комитета по молодежной политике Ростовской области в 2025 году в сумме 298,0 млн рублей, в 2026 году – 309,4 млн рублей, в 2027 году – 270,0 млн рублей, включая средства федерального бюджета в рамках единой субвенции на осуществление переданных полномочий Российской Федерации в сфере образования в 2025 году в сумме 34,5 млн</w:t>
      </w:r>
      <w:r>
        <w:t xml:space="preserve"> рублей, в 2026 году – 35,7 млн рублей;</w:t>
      </w:r>
    </w:p>
    <w:p w14:paraId="A5020000">
      <w:pPr>
        <w:ind w:firstLine="709" w:left="0"/>
        <w:jc w:val="both"/>
      </w:pPr>
      <w:r>
        <w:t xml:space="preserve">развитие и сопровождение цифровой </w:t>
      </w:r>
      <w:r>
        <w:t>инфраструктуры</w:t>
      </w:r>
      <w:r>
        <w:t xml:space="preserve"> и защиту информации министерства общего и профессионального образования Ростовской области, комитета по молодежной политике Ростовской области в 2025-2027 годах в сумме 5,8 млн рублей ежегодно;</w:t>
      </w:r>
    </w:p>
    <w:p w14:paraId="A6020000">
      <w:pPr>
        <w:ind w:firstLine="709" w:left="0"/>
        <w:jc w:val="both"/>
      </w:pPr>
      <w:r>
        <w:t>мероприятия по профессиональному развитию гражданских служащих Ростовской области</w:t>
      </w:r>
      <w:r>
        <w:rPr>
          <w:i w:val="1"/>
        </w:rPr>
        <w:t xml:space="preserve"> </w:t>
      </w:r>
      <w:r>
        <w:t>в 2025 году в сумме 6,5 млн рублей;</w:t>
      </w:r>
    </w:p>
    <w:p w14:paraId="A7020000">
      <w:pPr>
        <w:ind w:firstLine="709" w:left="0"/>
        <w:jc w:val="both"/>
      </w:pPr>
      <w:r>
        <w:t>проведение выставочно-ярмарочных мероприятий, конгрессов, форумов, конференций, фестивалей, организация коллективных экспозиций (стендов) Ростовской области, ежегодно включаемых в перечень приоритетных выставочно-ярмарочных мероприятий, проводимых при поддержке и участии органов исполнительной власти Ростовской области в 2025-2027 годах в сумме 4,1 млн рублей ежегодно;</w:t>
      </w:r>
    </w:p>
    <w:p w14:paraId="A8020000">
      <w:pPr>
        <w:ind w:firstLine="709" w:left="0"/>
        <w:jc w:val="both"/>
      </w:pPr>
      <w:r>
        <w:rPr>
          <w:spacing w:val="-1"/>
        </w:rPr>
        <w:t xml:space="preserve">предоставление субвенции бюджетам муниципальных районов и городских округов на осуществление полномочий по организации и осуществлению деятельности по опеке и попечительству в соответствии со </w:t>
      </w:r>
      <w:r>
        <w:rPr>
          <w:spacing w:val="-1"/>
        </w:rPr>
        <w:fldChar w:fldCharType="begin"/>
      </w:r>
      <w:r>
        <w:rPr>
          <w:spacing w:val="-1"/>
        </w:rPr>
        <w:instrText>HYPERLINK "consultantplus://offline/ref=FD811A84B058CA4718FD1FF65D72A3680BEF8107BD47D65783E8334554C67E3A060F05FFEA666C103630DFn5A4P"</w:instrText>
      </w:r>
      <w:r>
        <w:rPr>
          <w:spacing w:val="-1"/>
        </w:rPr>
        <w:fldChar w:fldCharType="separate"/>
      </w:r>
      <w:r>
        <w:rPr>
          <w:spacing w:val="-1"/>
        </w:rPr>
        <w:t>статьей 6</w:t>
      </w:r>
      <w:r>
        <w:rPr>
          <w:spacing w:val="-1"/>
        </w:rPr>
        <w:fldChar w:fldCharType="end"/>
      </w:r>
      <w:r>
        <w:rPr>
          <w:spacing w:val="-1"/>
        </w:rPr>
        <w:t xml:space="preserve"> </w:t>
      </w:r>
      <w:r>
        <w:rPr>
          <w:spacing w:val="-1"/>
        </w:rPr>
        <w:br/>
      </w:r>
      <w:r>
        <w:rPr>
          <w:spacing w:val="-1"/>
        </w:rPr>
        <w:t xml:space="preserve">Областного закона от 26.12.2007 № 830-ЗС «Об организации опеки и попечительства в Ростовской области» </w:t>
      </w:r>
      <w:r>
        <w:t>в 2025 году в сумме 208,8 млн рублей, в 2026 году – 216,9 млн рублей, в 2027 году 225,4 млн рублей;</w:t>
      </w:r>
    </w:p>
    <w:p w14:paraId="A9020000">
      <w:pPr>
        <w:ind w:firstLine="709" w:left="0"/>
        <w:jc w:val="both"/>
        <w:outlineLvl w:val="0"/>
      </w:pPr>
      <w:r>
        <w:t>организацию и обеспечение отдыха и оздоровления детей в 2025 году – 1 762,1 млн рублей, в 2026 году – 1 832,7 млн рублей, в 2027 году – 1 900,5 млн рублей;</w:t>
      </w:r>
    </w:p>
    <w:p w14:paraId="AA020000">
      <w:pPr>
        <w:ind w:firstLine="709" w:left="0"/>
        <w:jc w:val="both"/>
      </w:pPr>
      <w:r>
        <w:t xml:space="preserve">выплату стипендий </w:t>
      </w:r>
      <w:r>
        <w:t>обучающимся</w:t>
      </w:r>
      <w:r>
        <w:t xml:space="preserve"> профессиональных образовательных организаций в</w:t>
      </w:r>
      <w:r>
        <w:rPr>
          <w:spacing w:val="-1"/>
        </w:rPr>
        <w:t xml:space="preserve"> 2025 году в сумме 540,0 млн рублей, в 2026 году – 558,6 млн рублей, в 2027 году – 578,8 млн рублей</w:t>
      </w:r>
      <w:r>
        <w:t>;</w:t>
      </w:r>
    </w:p>
    <w:p w14:paraId="AB020000">
      <w:pPr>
        <w:ind w:firstLine="709" w:left="0"/>
        <w:jc w:val="both"/>
      </w:pPr>
      <w:r>
        <w:t>предоставление выплат педагогическим работникам государственных и муниципальных общеобразовательных организаций на ежемесячное денежное вознаграждение за классное руководство в 2025 году в сумме 1 727,9 млн рублей, в 2026-2027 годах по 1 736,6 млн рублей ежегодно;</w:t>
      </w:r>
    </w:p>
    <w:p w14:paraId="AC020000">
      <w:pPr>
        <w:ind w:firstLine="709" w:left="0"/>
        <w:jc w:val="both"/>
      </w:pPr>
      <w:r>
        <w:t xml:space="preserve">предоставление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2025 году – </w:t>
      </w:r>
      <w:r>
        <w:br/>
      </w:r>
      <w:r>
        <w:t>229,7 млн рублей, в 2026-2027 годах по 227,0 млн рублей ежегодно;</w:t>
      </w:r>
    </w:p>
    <w:p w14:paraId="AD020000">
      <w:pPr>
        <w:ind w:firstLine="709" w:left="0"/>
        <w:jc w:val="both"/>
      </w:pPr>
      <w:r>
        <w:t>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2025 году – 282,6 млн рублей, в 2026-2027 годах в объеме 341,6 млн рублей ежегодно.</w:t>
      </w:r>
    </w:p>
    <w:p w14:paraId="AE020000">
      <w:pPr>
        <w:ind w:firstLine="708" w:left="0"/>
        <w:jc w:val="both"/>
        <w:rPr>
          <w:color w:themeColor="text1" w:val="000000"/>
        </w:rPr>
      </w:pPr>
      <w:r>
        <w:rPr>
          <w:color w:themeColor="text1" w:val="000000"/>
        </w:rPr>
        <w:t xml:space="preserve">В проекте областного закона по данному разделу учтены расходы </w:t>
      </w:r>
      <w:r>
        <w:rPr>
          <w:color w:themeColor="text1" w:val="000000"/>
        </w:rPr>
        <w:t>на</w:t>
      </w:r>
      <w:r>
        <w:rPr>
          <w:color w:themeColor="text1" w:val="000000"/>
        </w:rPr>
        <w:t>:</w:t>
      </w:r>
    </w:p>
    <w:p w14:paraId="AF020000">
      <w:pPr>
        <w:ind w:firstLine="708" w:left="0"/>
        <w:jc w:val="both"/>
        <w:rPr>
          <w:color w:themeColor="text1" w:val="000000"/>
        </w:rPr>
      </w:pPr>
      <w:r>
        <w:rPr>
          <w:color w:themeColor="text1" w:val="000000"/>
        </w:rPr>
        <w:t>проведение капитальных ремонтов государственных образовательных организаций в 2025 году – 2 631,7 млн рублей, в 2026 году – 1 201,9 млн рублей;</w:t>
      </w:r>
    </w:p>
    <w:p w14:paraId="B0020000">
      <w:pPr>
        <w:ind w:firstLine="708" w:left="0"/>
        <w:jc w:val="both"/>
      </w:pPr>
      <w:r>
        <w:t xml:space="preserve">разработку проектной документации на капитальный ремонт </w:t>
      </w:r>
      <w:r>
        <w:rPr>
          <w:color w:themeColor="text1" w:val="000000"/>
        </w:rPr>
        <w:t>государственных образовательных организаций в 2025 году – 66,9 млн рублей;</w:t>
      </w:r>
      <w:r>
        <w:t xml:space="preserve"> </w:t>
      </w:r>
    </w:p>
    <w:p w14:paraId="B1020000">
      <w:pPr>
        <w:ind w:firstLine="709" w:left="0"/>
        <w:jc w:val="both"/>
      </w:pPr>
      <w:r>
        <w:t xml:space="preserve">продолжение работ по адаптации для инвалидов и других </w:t>
      </w:r>
      <w:r>
        <w:t>маломобильных</w:t>
      </w:r>
      <w:r>
        <w:t xml:space="preserve"> групп населения приоритетных объектов образования и услуг социальной инфраструктуры, в 2025-2027 годах </w:t>
      </w:r>
      <w:r>
        <w:rPr>
          <w:color w:themeColor="text1" w:val="000000"/>
        </w:rPr>
        <w:t xml:space="preserve">– </w:t>
      </w:r>
      <w:r>
        <w:t>по 9,9 млн рублей ежегодно;</w:t>
      </w:r>
    </w:p>
    <w:p w14:paraId="B2020000">
      <w:pPr>
        <w:ind w:firstLine="709" w:left="0"/>
        <w:jc w:val="both"/>
      </w:pPr>
      <w:r>
        <w:t xml:space="preserve">завершение работ по строительству школ в </w:t>
      </w:r>
      <w:r>
        <w:t>Аксайском</w:t>
      </w:r>
      <w:r>
        <w:t xml:space="preserve"> районе и в </w:t>
      </w:r>
      <w:r>
        <w:t>г</w:t>
      </w:r>
      <w:r>
        <w:t>. Ростове-на-Дону в 2025 году – 2 170,8 млн рублей;</w:t>
      </w:r>
    </w:p>
    <w:p w14:paraId="B3020000">
      <w:pPr>
        <w:ind w:firstLine="709" w:left="0"/>
        <w:jc w:val="both"/>
      </w:pPr>
      <w:r>
        <w:t xml:space="preserve">завершение работ по строительству казачьего кадетского корпуса Мариинской гимназии в п. </w:t>
      </w:r>
      <w:r>
        <w:t>Шолоховский</w:t>
      </w:r>
      <w:r>
        <w:t xml:space="preserve"> Белокалитвинского района и на завершение проектных работ по реконструкции центра детского творчества и молодежи в р.п. Усть-Донецкий в 2025 году – 838,2 млн рублей.</w:t>
      </w:r>
    </w:p>
    <w:p w14:paraId="B4020000">
      <w:pPr>
        <w:ind w:firstLine="709" w:left="0"/>
        <w:jc w:val="both"/>
      </w:pPr>
      <w:r>
        <w:t xml:space="preserve">В проекте бюджета на предстоящие три года в целях </w:t>
      </w:r>
      <w:r>
        <w:t>софинансирования</w:t>
      </w:r>
      <w:r>
        <w:t xml:space="preserve"> расходных обязательств, возникающих при выполнении полномочий органов местного самоуправления по вопросам местного значения, предусматриваются расходы на предоставление субсидий местным бюджетам по следующим направлениям:</w:t>
      </w:r>
    </w:p>
    <w:p w14:paraId="B5020000">
      <w:pPr>
        <w:ind w:firstLine="709" w:left="0"/>
        <w:jc w:val="both"/>
      </w:pPr>
      <w:r>
        <w:t xml:space="preserve">модернизация школьных систем образования в 2025 году в сумме  </w:t>
      </w:r>
      <w:r>
        <w:br/>
      </w:r>
      <w:r>
        <w:t>1 546,2 млн рублей;</w:t>
      </w:r>
    </w:p>
    <w:p w14:paraId="B6020000">
      <w:pPr>
        <w:ind w:firstLine="709" w:left="0"/>
        <w:jc w:val="both"/>
      </w:pPr>
      <w:r>
        <w:t xml:space="preserve">капитальный ремонт зданий муниципальных образовательных организаций в 2025 году – 4 250,2 млн рублей и в 2026 году – 1 354,9 млн рублей; </w:t>
      </w:r>
    </w:p>
    <w:p w14:paraId="B7020000">
      <w:pPr>
        <w:ind w:firstLine="709" w:left="0"/>
        <w:jc w:val="both"/>
      </w:pPr>
      <w:r>
        <w:t>приобретение и установка модульных зданий для образовательных организаций в 2025 году – 588,3 млн рублей;</w:t>
      </w:r>
    </w:p>
    <w:p w14:paraId="B8020000">
      <w:pPr>
        <w:ind w:firstLine="709" w:left="0"/>
        <w:jc w:val="both"/>
      </w:pPr>
      <w:r>
        <w:t>разработка проектной документации на капитальный ремонт муниципальных образовательный учреждений в 2025 году – 6,0 млн рублей;</w:t>
      </w:r>
    </w:p>
    <w:p w14:paraId="B9020000">
      <w:pPr>
        <w:ind w:firstLine="709" w:left="0"/>
        <w:jc w:val="both"/>
      </w:pPr>
      <w:r>
        <w:t>подвоз обучающихся и аренда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в 2025 году – 45,7 млн рублей, в 2026 году – 45,7 млн рублей, в 2027 году – 44,1 млн рублей.</w:t>
      </w:r>
    </w:p>
    <w:p w14:paraId="BA020000">
      <w:pPr>
        <w:ind w:firstLine="709" w:left="0"/>
        <w:jc w:val="both"/>
      </w:pPr>
      <w:r>
        <w:t xml:space="preserve">На организацию и проведение мероприятий с обучающимися и работниками системы образования ежегодно запланировано по 127,6 млн рублей, в том числе </w:t>
      </w:r>
      <w:r>
        <w:t>на</w:t>
      </w:r>
      <w:r>
        <w:t>:</w:t>
      </w:r>
    </w:p>
    <w:p w14:paraId="BB020000">
      <w:pPr>
        <w:ind w:firstLine="709" w:left="0"/>
        <w:jc w:val="both"/>
      </w:pPr>
      <w:r>
        <w:t xml:space="preserve">поддержку одаренных детей в сумме 4,1 млн рублей ежегодно, которые будут направлены на организацию и проведение олимпиад по общеобразовательным </w:t>
      </w:r>
      <w:r>
        <w:t>предметам</w:t>
      </w:r>
      <w:r>
        <w:t xml:space="preserve"> и ежегодное награждение победителей;</w:t>
      </w:r>
    </w:p>
    <w:p w14:paraId="BC020000">
      <w:pPr>
        <w:ind w:firstLine="709" w:left="0"/>
        <w:jc w:val="both"/>
      </w:pPr>
      <w:r>
        <w:t>выплату стипендий Губернатора Ростовской области и премий Губернатора Ростовской области педагогическим работникам системы дошкольного, общего, дополнительного образования детей и профессионального образования в сумме 20,4 млн рублей ежегодно;</w:t>
      </w:r>
    </w:p>
    <w:p w14:paraId="BD020000">
      <w:pPr>
        <w:ind w:firstLine="709" w:left="0"/>
        <w:jc w:val="both"/>
      </w:pPr>
      <w:r>
        <w:t>обеспечение проведения регионального чемпионата профессионального мастерства «Профессионалы» по 80,0 млн рублей ежегодно;</w:t>
      </w:r>
    </w:p>
    <w:p w14:paraId="BE020000">
      <w:pPr>
        <w:ind w:firstLine="709" w:left="0"/>
        <w:jc w:val="both"/>
      </w:pPr>
      <w:r>
        <w:t>обеспечение проведения регионального чемпионата и участия в Национальном чемпионате профессионального мастерства среди людей с ограниченными возможностями здоровья «</w:t>
      </w:r>
      <w:r>
        <w:t>Абилимпикс</w:t>
      </w:r>
      <w:r>
        <w:t>» по 7,1 млн рублей ежегодно;</w:t>
      </w:r>
    </w:p>
    <w:p w14:paraId="BF020000">
      <w:pPr>
        <w:ind w:firstLine="709" w:left="0"/>
        <w:jc w:val="both"/>
      </w:pPr>
      <w:r>
        <w:t>выплату премий Губернатора Ростовской области победителям в компетенциях по итогам чемпионата «Профессионалы», чемпионата «</w:t>
      </w:r>
      <w:r>
        <w:t>Абилимпикс</w:t>
      </w:r>
      <w:r>
        <w:t>» и их наставникам по 13,9 млн рублей ежегодно;</w:t>
      </w:r>
    </w:p>
    <w:p w14:paraId="C0020000">
      <w:pPr>
        <w:ind w:firstLine="709" w:left="0"/>
        <w:jc w:val="both"/>
      </w:pPr>
      <w:r>
        <w:t>проведение мероприятий с обучающимися и работниками общего, дополнительного и профессионального образования по 2,1 млн. рублей ежегодно.</w:t>
      </w:r>
    </w:p>
    <w:p w14:paraId="C1020000">
      <w:pPr>
        <w:ind w:firstLine="709" w:left="0"/>
        <w:jc w:val="both"/>
      </w:pPr>
      <w:r>
        <w:t xml:space="preserve">Мероприятия, проводимые в рамках реализации государственной </w:t>
      </w:r>
      <w:r>
        <w:rPr>
          <w:b w:val="1"/>
          <w:i w:val="1"/>
        </w:rPr>
        <w:t>молодежной политики</w:t>
      </w:r>
      <w:r>
        <w:t>, направлены на гражданско-патриотическое и духовно-нравственное воспитание молодежи, расширение возможностей для эффективной самореализации молодежи и повышение уровня ее потенциала в целях достижения устойчивого социально-экономического развития региона.</w:t>
      </w:r>
    </w:p>
    <w:p w14:paraId="C2020000">
      <w:pPr>
        <w:ind w:firstLine="709" w:left="0"/>
        <w:jc w:val="both"/>
      </w:pPr>
      <w:r>
        <w:t>Объем расходов по направлениям молодежной политики в проекте областного бюджета составляет на 2025 год – 279,</w:t>
      </w:r>
      <w:r>
        <w:t>5</w:t>
      </w:r>
      <w:r>
        <w:t> млн рублей, на 2026 год – 28</w:t>
      </w:r>
      <w:r>
        <w:t>2</w:t>
      </w:r>
      <w:r>
        <w:t>,</w:t>
      </w:r>
      <w:r>
        <w:t>2</w:t>
      </w:r>
      <w:r>
        <w:t> млн рублей, на 2027 год – 284,</w:t>
      </w:r>
      <w:r>
        <w:t>8</w:t>
      </w:r>
      <w:r>
        <w:t> млн рублей.</w:t>
      </w:r>
    </w:p>
    <w:p w14:paraId="C3020000">
      <w:pPr>
        <w:ind w:firstLine="737" w:left="0"/>
        <w:jc w:val="both"/>
        <w:rPr>
          <w:sz w:val="36"/>
        </w:rPr>
      </w:pPr>
      <w:r>
        <w:t xml:space="preserve">Выполнение мероприятий и показателей, установленных государственной программой Ростовской области «Молодежная политика и социальная активность», обеспечивается тремя государственными автономными учреждениями Ростовской области, на финансовое обеспечение деятельности которых планируется направить </w:t>
      </w:r>
      <w:r>
        <w:t xml:space="preserve">в 2025 году – </w:t>
      </w:r>
      <w:r>
        <w:t xml:space="preserve">84,6 млн рублей, </w:t>
      </w:r>
      <w:r>
        <w:t xml:space="preserve">в 2026 году – </w:t>
      </w:r>
      <w:r>
        <w:t>87,0</w:t>
      </w:r>
      <w:r>
        <w:t> млн рублей,</w:t>
      </w:r>
      <w:r>
        <w:t xml:space="preserve"> </w:t>
      </w:r>
      <w:r>
        <w:t>в 2027 году – 89,7 млн рублей</w:t>
      </w:r>
      <w:r>
        <w:t>.</w:t>
      </w:r>
    </w:p>
    <w:p w14:paraId="C4020000">
      <w:pPr>
        <w:ind w:firstLine="709" w:left="0"/>
        <w:jc w:val="both"/>
      </w:pPr>
      <w:r>
        <w:t xml:space="preserve">При этом планируется увеличить число новых форм, мероприятий и методов молодежной </w:t>
      </w:r>
      <w:r>
        <w:t>политики, на реализацию</w:t>
      </w:r>
      <w:r>
        <w:t xml:space="preserve"> которых будет направлено в 2025-2026 годах – по 164,5 млн рублей ежегодно, в 2027 году – 164,7 млн рублей.</w:t>
      </w:r>
    </w:p>
    <w:p w14:paraId="C5020000">
      <w:pPr>
        <w:ind w:firstLine="709" w:left="0"/>
        <w:jc w:val="both"/>
      </w:pPr>
      <w:r>
        <w:t>С 2025 года областным бюджетом предусмотрены средства на проведение ежегодного молодежного форума Южного федерального округа «Молодая волна» в три смены, в которых примут участие более 1 500 ребят в возрасте от 14 до 17 лет включительно.</w:t>
      </w:r>
    </w:p>
    <w:p w14:paraId="C6020000">
      <w:pPr>
        <w:ind w:firstLine="709" w:left="0"/>
        <w:jc w:val="both"/>
      </w:pPr>
      <w:r>
        <w:t>В полном объеме учтены средства на содержание и обеспечение деятельности регионального молодежного центра «</w:t>
      </w:r>
      <w:r>
        <w:t>ДонМолодой</w:t>
      </w:r>
      <w:r>
        <w:t>», открытие которого состоялось в текущем году.</w:t>
      </w:r>
    </w:p>
    <w:p w14:paraId="C7020000">
      <w:pPr>
        <w:ind w:firstLine="709" w:left="0"/>
        <w:jc w:val="both"/>
      </w:pPr>
      <w:r>
        <w:t xml:space="preserve">В целях реализации мероприятий по работе с молодежью на территориях муниципальных образований, на </w:t>
      </w:r>
      <w:r>
        <w:t>софинансирование</w:t>
      </w:r>
      <w:r>
        <w:t xml:space="preserve"> расходов муниципальных программ ежегодно направляются средства в форме субсидий местным бюджетам в объеме 12,0 млн рублей в каждом году планируемого периода.</w:t>
      </w:r>
    </w:p>
    <w:p w14:paraId="C8020000">
      <w:pPr>
        <w:ind w:firstLine="709" w:left="0"/>
        <w:jc w:val="both"/>
      </w:pPr>
      <w:r>
        <w:t>Государственная поддержка молодежных и детских общественных объединений, студенческих отрядов, команд Клуба Веселых и Находчивых осуществляется путем предоставления из областного бюджета субсидий на возмещение части затрат в сумме 6,2 млн рублей ежегодно.</w:t>
      </w:r>
    </w:p>
    <w:p w14:paraId="C9020000">
      <w:pPr>
        <w:ind w:firstLine="709" w:left="0"/>
        <w:jc w:val="both"/>
      </w:pPr>
      <w:r>
        <w:t>С целью вовлечения молодежи Ростовской области в социальную практику, повышения гражданской активности и раскрытия потенциала молодежи, осуществляется предоставление из областного бюджета грантов победителям регионального конкурса молодежных проектов среди физических лиц. Общий размер средств, предусмотренный на данные цели, составит 10,0 млн рублей ежегодно.</w:t>
      </w:r>
    </w:p>
    <w:p w14:paraId="CA020000">
      <w:pPr>
        <w:ind w:firstLine="709" w:left="0"/>
        <w:jc w:val="both"/>
      </w:pPr>
      <w:r>
        <w:t>В целях стимулирования вовлеченности молодежи в общественные объединения областным бюджетом предусматриваются средства на следующие меры поощрения:</w:t>
      </w:r>
    </w:p>
    <w:p w14:paraId="CB020000">
      <w:pPr>
        <w:ind w:firstLine="709" w:left="0"/>
        <w:jc w:val="both"/>
      </w:pPr>
      <w:r>
        <w:t xml:space="preserve">- именные премии талантливым молодым ученым и </w:t>
      </w:r>
      <w:r>
        <w:t>инноваторам</w:t>
      </w:r>
      <w:r>
        <w:t xml:space="preserve"> в общем размере 1,0 млн рублей ежегодно;</w:t>
      </w:r>
    </w:p>
    <w:p w14:paraId="CC020000">
      <w:pPr>
        <w:ind w:firstLine="709" w:left="0"/>
        <w:jc w:val="both"/>
      </w:pPr>
      <w:r>
        <w:t>- именные премии лицам, удостоенным звания «Лучший доброволец (волонтер) Ростовской области» в общем размере 0,5 млн рублей ежегодно;</w:t>
      </w:r>
    </w:p>
    <w:p w14:paraId="CD020000">
      <w:pPr>
        <w:ind w:firstLine="709" w:left="0"/>
        <w:jc w:val="both"/>
      </w:pPr>
      <w:r>
        <w:t>- именные премии лучшим командиру, комиссару и мастеру (методисту) студенческих отрядов Ростовской области, а также командирам 7-ми студенческих отрядов-победителей в общем размере 0,5 млн рублей ежегодно.</w:t>
      </w:r>
    </w:p>
    <w:p w14:paraId="CE020000">
      <w:pPr>
        <w:rPr>
          <w:b w:val="1"/>
        </w:rPr>
      </w:pPr>
    </w:p>
    <w:p w14:paraId="CF020000">
      <w:pPr>
        <w:ind w:firstLine="709" w:left="0"/>
        <w:jc w:val="center"/>
        <w:rPr>
          <w:b w:val="1"/>
        </w:rPr>
      </w:pPr>
      <w:r>
        <w:rPr>
          <w:b w:val="1"/>
        </w:rPr>
        <w:t>РАЗДЕЛ</w:t>
      </w:r>
    </w:p>
    <w:p w14:paraId="D0020000">
      <w:pPr>
        <w:ind w:firstLine="709" w:left="0"/>
        <w:jc w:val="center"/>
        <w:rPr>
          <w:b w:val="1"/>
        </w:rPr>
      </w:pPr>
      <w:r>
        <w:rPr>
          <w:b w:val="1"/>
        </w:rPr>
        <w:t xml:space="preserve"> «КУЛЬТУРА, КИНЕМАТОГРАФИЯ»</w:t>
      </w:r>
    </w:p>
    <w:p w14:paraId="D1020000">
      <w:pPr>
        <w:ind w:firstLine="709" w:left="0"/>
        <w:jc w:val="center"/>
        <w:rPr>
          <w:b w:val="1"/>
        </w:rPr>
      </w:pPr>
    </w:p>
    <w:p w14:paraId="D2020000">
      <w:pPr>
        <w:ind w:firstLine="709" w:left="0"/>
        <w:jc w:val="both"/>
        <w:outlineLvl w:val="0"/>
      </w:pPr>
      <w:r>
        <w:t>В проекте областного бюджета по разделу «Культура, кинематография» предусмотрены бюджетные ассигнования в 2025 году в сумме 4 395,3 млн рублей, в 2026 году в сумме 3 585,0 млн рублей и в 2027 году в сумме 3 213,3 млн рублей.</w:t>
      </w:r>
    </w:p>
    <w:p w14:paraId="D3020000">
      <w:pPr>
        <w:ind w:firstLine="709" w:left="0"/>
        <w:jc w:val="both"/>
        <w:rPr>
          <w:spacing w:val="-1"/>
        </w:rPr>
      </w:pPr>
      <w:r>
        <w:rPr>
          <w:spacing w:val="-1"/>
        </w:rPr>
        <w:t xml:space="preserve">Расходы по разделу будут направлены </w:t>
      </w:r>
      <w:r>
        <w:rPr>
          <w:spacing w:val="-1"/>
        </w:rPr>
        <w:t>на</w:t>
      </w:r>
      <w:r>
        <w:rPr>
          <w:spacing w:val="-1"/>
        </w:rPr>
        <w:t>:</w:t>
      </w:r>
    </w:p>
    <w:p w14:paraId="D4020000">
      <w:pPr>
        <w:ind w:firstLine="709" w:left="0"/>
        <w:jc w:val="both"/>
        <w:outlineLvl w:val="0"/>
        <w:rPr>
          <w:spacing w:val="-1"/>
        </w:rPr>
      </w:pPr>
      <w:r>
        <w:rPr>
          <w:spacing w:val="-1"/>
        </w:rPr>
        <w:t>финансовое обеспечение деятельности министерства культуры Ростовской области, комитета по охране объектов культурного наследия Ростовской области в 2025 году в сумме 128,5 млн рублей, в 2026 году – 133,5 млн рублей, в 2027 году – 138,8 млн рублей, включая средства федерального бюджета в рамках единой субвенции на осуществление переданных полномочий Российской Федерации в отношении объектов культурного наследия в 2025 году в сумме 64,4</w:t>
      </w:r>
      <w:r>
        <w:rPr>
          <w:spacing w:val="-1"/>
        </w:rPr>
        <w:t xml:space="preserve"> млн рублей, в 2026 году – 66,8 млн рублей;</w:t>
      </w:r>
    </w:p>
    <w:p w14:paraId="D5020000">
      <w:pPr>
        <w:ind w:firstLine="709" w:left="0"/>
        <w:jc w:val="both"/>
      </w:pPr>
      <w:r>
        <w:t xml:space="preserve">финансовое обеспечение выполнения государственных заданий </w:t>
      </w:r>
      <w:r>
        <w:br/>
      </w:r>
      <w:r>
        <w:t>19 бюджетными и 7 автономными учреждениями культуры в 2025 году в сумме 2 711,8 млн рублей, в 2026 году – 2 881,7 млн рублей, в 2027 году – 2 998,5 млн рублей,</w:t>
      </w:r>
      <w:r>
        <w:rPr>
          <w:spacing w:val="-1"/>
        </w:rPr>
        <w:t xml:space="preserve"> что позволит реализовать мероприятия по</w:t>
      </w:r>
      <w:r>
        <w:t xml:space="preserve"> сохранению, использованию и популяризации объектов культурного наследия (памятников истории и культуры), находящихся в собственности Ростовской области, организовать библиотечное обслуживание населения</w:t>
      </w:r>
      <w:r>
        <w:t xml:space="preserve"> в государственных библиотеках, оказать поддержку государственным музеям, учреждениям культуры и искусства в целях качественного предоставления населению Ростовской области государственных услуг в сфере культуры;</w:t>
      </w:r>
    </w:p>
    <w:p w14:paraId="D6020000">
      <w:pPr>
        <w:ind w:firstLine="709" w:left="0"/>
        <w:jc w:val="both"/>
        <w:outlineLvl w:val="0"/>
        <w:rPr>
          <w:spacing w:val="-1"/>
        </w:rPr>
      </w:pPr>
      <w:r>
        <w:rPr>
          <w:spacing w:val="-1"/>
        </w:rPr>
        <w:t xml:space="preserve">развитие и сопровождение цифровой </w:t>
      </w:r>
      <w:r>
        <w:rPr>
          <w:spacing w:val="-1"/>
        </w:rPr>
        <w:t>инфраструктуры</w:t>
      </w:r>
      <w:r>
        <w:rPr>
          <w:spacing w:val="-1"/>
        </w:rPr>
        <w:t xml:space="preserve"> и защиту информации в 2025-2027 годах по 2,6 млн рублей ежегодно;</w:t>
      </w:r>
    </w:p>
    <w:p w14:paraId="D7020000">
      <w:pPr>
        <w:ind w:firstLine="709" w:left="0"/>
        <w:jc w:val="both"/>
      </w:pPr>
      <w:r>
        <w:t>капитальный ремонт государственных учреждений культуры в 2025 году в сумме 425,8 млн рублей, что позволит обеспечить:</w:t>
      </w:r>
    </w:p>
    <w:p w14:paraId="D8020000">
      <w:pPr>
        <w:ind w:firstLine="709" w:left="0"/>
        <w:jc w:val="both"/>
      </w:pPr>
      <w:r>
        <w:t>завершение работ по реставрации и приспособлению для современного использования объекта культурного наследия регионального значения ансамбль «Мемориальное здание (банк)» в сумме 153,9 млн рублей;</w:t>
      </w:r>
    </w:p>
    <w:p w14:paraId="D9020000">
      <w:pPr>
        <w:ind w:firstLine="709" w:left="0"/>
        <w:jc w:val="both"/>
      </w:pPr>
      <w:r>
        <w:t>сохранение объекта культурного наследия регионального значения «Здание Атаманского дворца (горсовет)» – реставрация, приспособление для современного использования в сумме 88,9 млн рублей;</w:t>
      </w:r>
    </w:p>
    <w:p w14:paraId="DA020000">
      <w:pPr>
        <w:ind w:firstLine="708" w:left="0"/>
        <w:jc w:val="both"/>
      </w:pPr>
      <w:r>
        <w:t>ремонтно-реставрационные работы объекта культурного наследия регионального значения «Особняк С.В. Петровой» г. Ростов-на-Дону, ул. </w:t>
      </w:r>
      <w:r>
        <w:t>Пушкинская</w:t>
      </w:r>
      <w:r>
        <w:t>, 115, в сумме 59,5 млн рублей;</w:t>
      </w:r>
    </w:p>
    <w:p w14:paraId="DB020000">
      <w:pPr>
        <w:ind w:firstLine="708" w:left="0"/>
        <w:jc w:val="both"/>
      </w:pPr>
      <w:r>
        <w:t>завершение капитального ремонта территории и наружных инженерных сетей объекта культурного наследия регионального значения «Здание бывшей мужской гимназии, где А.П. Чехов учился с 1868 по 1879 г.г.» в сумме 63,8 млн рублей;</w:t>
      </w:r>
    </w:p>
    <w:p w14:paraId="DC020000">
      <w:pPr>
        <w:ind w:firstLine="708" w:left="0"/>
        <w:jc w:val="both"/>
      </w:pPr>
      <w:r>
        <w:t>ремонтно-реставрационные работы объекта культурного наследия регионального значения «Мемориальное здание (картинная галерея)» в сумме 50,5 млн рублей;</w:t>
      </w:r>
    </w:p>
    <w:p w14:paraId="DD020000">
      <w:pPr>
        <w:ind w:firstLine="709" w:left="0"/>
        <w:jc w:val="both"/>
      </w:pPr>
      <w:r>
        <w:t>завершение ремонтно-реставрационных работ объекта культурного наследия регионального значения «Дом торгового казака Устинова» в сумме 9,2 млн рублей.</w:t>
      </w:r>
    </w:p>
    <w:p w14:paraId="DE020000">
      <w:pPr>
        <w:ind w:firstLine="709" w:left="0"/>
        <w:jc w:val="both"/>
      </w:pPr>
      <w:r>
        <w:t>Будет продолжена работа по созданию экспозиций с применением интерактивных технологий в ГБУК РО «</w:t>
      </w:r>
      <w:r>
        <w:t>Волгодонский</w:t>
      </w:r>
      <w:r>
        <w:t xml:space="preserve"> эколого-исторический музей» и ГБУК РО «Ростовский областной музей краеведения».</w:t>
      </w:r>
    </w:p>
    <w:p w14:paraId="DF020000">
      <w:pPr>
        <w:ind w:firstLine="709" w:left="0"/>
        <w:jc w:val="both"/>
      </w:pPr>
      <w:r>
        <w:t>На данные цели законопроектом предлагается направить в 2025 и 2026 годах 129,7 млн рублей и 143,2 млн рублей, соответственно.</w:t>
      </w:r>
    </w:p>
    <w:p w14:paraId="E0020000">
      <w:pPr>
        <w:ind w:firstLine="708" w:left="0"/>
        <w:jc w:val="both"/>
      </w:pPr>
      <w:r>
        <w:t xml:space="preserve">Как и в предыдущие </w:t>
      </w:r>
      <w:r>
        <w:t>годы</w:t>
      </w:r>
      <w:r>
        <w:t xml:space="preserve"> расходы по разделу будут направлены на реализацию мероприятий в области культуры:</w:t>
      </w:r>
    </w:p>
    <w:p w14:paraId="E1020000">
      <w:pPr>
        <w:ind w:firstLine="709" w:left="0"/>
        <w:jc w:val="both"/>
      </w:pPr>
      <w:r>
        <w:t xml:space="preserve">проведение областных мероприятий в сфере культуры </w:t>
      </w:r>
      <w:r>
        <w:rPr>
          <w:spacing w:val="-1"/>
        </w:rPr>
        <w:t xml:space="preserve">в 2025 году </w:t>
      </w:r>
      <w:r>
        <w:t>в сумме</w:t>
      </w:r>
      <w:r>
        <w:rPr>
          <w:spacing w:val="-1"/>
        </w:rPr>
        <w:t xml:space="preserve"> 31,2 </w:t>
      </w:r>
      <w:r>
        <w:t xml:space="preserve">млн </w:t>
      </w:r>
      <w:r>
        <w:rPr>
          <w:spacing w:val="-1"/>
        </w:rPr>
        <w:t xml:space="preserve">рублей, в 2026 году </w:t>
      </w:r>
      <w:r>
        <w:t xml:space="preserve">– </w:t>
      </w:r>
      <w:r>
        <w:rPr>
          <w:spacing w:val="-1"/>
        </w:rPr>
        <w:t xml:space="preserve">29,2 </w:t>
      </w:r>
      <w:r>
        <w:t xml:space="preserve">млн </w:t>
      </w:r>
      <w:r>
        <w:rPr>
          <w:spacing w:val="-1"/>
        </w:rPr>
        <w:t xml:space="preserve">рублей, в 2027 году – 29,2 </w:t>
      </w:r>
      <w:r>
        <w:t xml:space="preserve">млн </w:t>
      </w:r>
      <w:r>
        <w:rPr>
          <w:spacing w:val="-1"/>
        </w:rPr>
        <w:t xml:space="preserve">рублей, что позволит обеспечить проведение Международного музыкального фестиваля Юрия </w:t>
      </w:r>
      <w:r>
        <w:rPr>
          <w:spacing w:val="-1"/>
        </w:rPr>
        <w:t>Бамшета</w:t>
      </w:r>
      <w:r>
        <w:rPr>
          <w:spacing w:val="-1"/>
        </w:rPr>
        <w:t xml:space="preserve">, военно-исторического фестиваля «Осада Азова», </w:t>
      </w:r>
      <w:r>
        <w:t>фестиваля «Сильному государству – здоровое поколение!», Губернаторской новогодней елки для одаренных детей и детей-сирот и Губернаторской рождественской елки, Дня славянской письменности и</w:t>
      </w:r>
      <w:r>
        <w:t xml:space="preserve"> культуры, Всероссийского казачьего фестиваля в городе Новочеркасске, ежегодного форума ремесленников Дона, праздничного концерта в день семьи, любви и верности, осуществление гастрольной деятельности профессиональных коллективов на территории Ростовской области;</w:t>
      </w:r>
    </w:p>
    <w:p w14:paraId="E2020000">
      <w:pPr>
        <w:ind w:firstLine="709" w:left="0"/>
        <w:jc w:val="both"/>
      </w:pPr>
      <w:r>
        <w:t>предоставление грантов для реализации творческих проектов в сфере культуры и искусства в 2025-2027 годах по 36,0 млн ежегодно;</w:t>
      </w:r>
    </w:p>
    <w:p w14:paraId="E3020000">
      <w:pPr>
        <w:ind w:firstLine="709" w:left="0"/>
        <w:jc w:val="both"/>
      </w:pPr>
      <w:r>
        <w:t>ежегодные разовые выплаты мастерам народной культуры, ветеранам сцены к Международному дню театра, ветеранам кинематографии ко Дню российского кино, ежегодные премии представителям творческой интеллигенции, победителям ежегодного конкурса профессионального мастерства «Библиотекарь года», выплаты стипендии Губернатора Ростовской области одаренным обучающимся в 2025-2027 годах в сумме 2,3 млн рублей ежегодно;</w:t>
      </w:r>
    </w:p>
    <w:p w14:paraId="E4020000">
      <w:pPr>
        <w:ind w:firstLine="709" w:left="0"/>
        <w:jc w:val="both"/>
      </w:pPr>
      <w:r>
        <w:t>субсидии региональным и местным национально-культурным автономиям на возмещение части затрат, направленных на обеспечение мероприятий по созданию условий для сохранения, возрождения и развития национальной культуры в 2025-2027 годах по 0,4 млн рублей ежегодно.</w:t>
      </w:r>
    </w:p>
    <w:p w14:paraId="E5020000">
      <w:pPr>
        <w:ind w:firstLine="709" w:left="0"/>
        <w:jc w:val="both"/>
      </w:pPr>
      <w:r>
        <w:rPr>
          <w:color w:themeColor="text1" w:val="000000"/>
        </w:rPr>
        <w:t>В целях обеспечения граждан, проживающих в малых населенных пунктах, качественными услугами в области культуры в 2025-2026 годах законопроектом предусмотрены средства</w:t>
      </w:r>
      <w:r>
        <w:t xml:space="preserve"> </w:t>
      </w:r>
      <w:r>
        <w:t>на</w:t>
      </w:r>
      <w:r>
        <w:t>:</w:t>
      </w:r>
    </w:p>
    <w:p w14:paraId="E6020000">
      <w:pPr>
        <w:ind w:firstLine="709" w:left="0"/>
        <w:jc w:val="both"/>
      </w:pPr>
      <w:r>
        <w:t xml:space="preserve">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w:t>
      </w:r>
      <w:r>
        <w:t xml:space="preserve">в 2025 году </w:t>
      </w:r>
      <w:r>
        <w:t xml:space="preserve">в сумме 19,3 млн рублей и </w:t>
      </w:r>
      <w:r>
        <w:t xml:space="preserve">в 2026 году в сумме </w:t>
      </w:r>
      <w:r>
        <w:t>20,4 млн рублей, в том числе 16,4 млн рублей и 17,5 млн рублей, соответственно, за счет средств субсидии из федерального бюджета;</w:t>
      </w:r>
    </w:p>
    <w:p w14:paraId="E7020000">
      <w:pPr>
        <w:ind w:firstLine="709" w:left="0"/>
        <w:jc w:val="both"/>
      </w:pPr>
      <w:r>
        <w:rPr>
          <w:color w:themeColor="text1" w:val="000000"/>
        </w:rPr>
        <w:t xml:space="preserve">обеспечение развития и укрепления материально-технической базы домов культуры в населенных пунктах с числом жителей до 50 тысяч человек </w:t>
      </w:r>
      <w:r>
        <w:t>в сумме 45,4 млн рублей в 2025 году и 46,0 млн рублей в 2026 году, в том числе 38,6 млн рублей и 39,5 млн рублей, соответственно, за счет средств субсидии из федерального бюджета.</w:t>
      </w:r>
    </w:p>
    <w:p w14:paraId="E8020000">
      <w:pPr>
        <w:ind w:firstLine="709" w:left="0"/>
        <w:jc w:val="both"/>
      </w:pPr>
      <w:r>
        <w:rPr>
          <w:color w:themeColor="text1" w:val="000000"/>
        </w:rPr>
        <w:t>На поддержку творческой деятельности и техническое оснащение детских и кукольных театров планируется  направить в 2025 году 17,6 млн рублей и в 2026</w:t>
      </w:r>
      <w:r>
        <w:t> </w:t>
      </w:r>
      <w:r>
        <w:rPr>
          <w:color w:themeColor="text1" w:val="000000"/>
        </w:rPr>
        <w:t>году 17,9 млн рублей.</w:t>
      </w:r>
    </w:p>
    <w:p w14:paraId="E9020000">
      <w:pPr>
        <w:widowControl w:val="0"/>
        <w:ind w:firstLine="709" w:left="0"/>
        <w:jc w:val="both"/>
      </w:pPr>
      <w:r>
        <w:t>В целях поддержки муниципальных образований области за счет средств областного и федерального бюджетов законопроектом предусмотрены ассигнования на предоставление субсидий  муниципальным образованиям в 2025 году в сумме 715,4 млн рублей, в 2026 году – 95,1 млн рублей на решение следующих вопросов:</w:t>
      </w:r>
    </w:p>
    <w:p w14:paraId="EA020000">
      <w:pPr>
        <w:ind w:firstLine="709" w:left="0"/>
        <w:jc w:val="both"/>
      </w:pPr>
      <w:r>
        <w:t>капитальный ремонт 8 организаций культуры в 2025 году в сумме 611,7 млн рублей, в 2026 году – 79,3 млн рублей;</w:t>
      </w:r>
    </w:p>
    <w:p w14:paraId="EB020000">
      <w:pPr>
        <w:ind w:firstLine="709" w:left="0"/>
        <w:jc w:val="both"/>
      </w:pPr>
      <w:r>
        <w:t>капитальный ремонт 4 памятников культуры по 2 в городах Морозовске и Новочеркасске в 2025 году – 88,3 млн рублей;</w:t>
      </w:r>
    </w:p>
    <w:p w14:paraId="EC020000">
      <w:pPr>
        <w:ind w:firstLine="709" w:left="0"/>
        <w:jc w:val="both"/>
      </w:pPr>
      <w:r>
        <w:t>комплектование книжных фондов библиотек муниципальных образований в 2025 году – 15,4 млн рублей, в том числе за счет средств федерального бюджета 13,1 млн рублей, в 2026 году – 15,8 млн рублей, в том числе за счет средств федерального бюджета 13,6 млн рублей;</w:t>
      </w:r>
    </w:p>
    <w:p w14:paraId="ED020000">
      <w:pPr>
        <w:pStyle w:val="Style_9"/>
        <w:tabs>
          <w:tab w:leader="none" w:pos="567" w:val="left"/>
        </w:tabs>
        <w:spacing w:after="0"/>
        <w:ind w:firstLine="709" w:left="0"/>
        <w:jc w:val="both"/>
        <w:rPr>
          <w:color w:themeColor="text1" w:val="000000"/>
          <w:sz w:val="28"/>
        </w:rPr>
      </w:pPr>
      <w:r>
        <w:rPr>
          <w:color w:themeColor="text1" w:val="000000"/>
          <w:sz w:val="28"/>
        </w:rPr>
        <w:t xml:space="preserve">Кроме того, запланированы расходы на реализацию мероприятий по адаптации для инвалидов и </w:t>
      </w:r>
      <w:r>
        <w:rPr>
          <w:color w:themeColor="text1" w:val="000000"/>
          <w:sz w:val="28"/>
        </w:rPr>
        <w:t>маломобильных</w:t>
      </w:r>
      <w:r>
        <w:rPr>
          <w:color w:themeColor="text1" w:val="000000"/>
          <w:sz w:val="28"/>
        </w:rPr>
        <w:t xml:space="preserve"> групп населения учреждений культуры в 2025 </w:t>
      </w:r>
      <w:r>
        <w:rPr>
          <w:sz w:val="28"/>
        </w:rPr>
        <w:t>году – 2,4</w:t>
      </w:r>
      <w:r>
        <w:rPr>
          <w:color w:themeColor="text1" w:val="000000"/>
          <w:sz w:val="28"/>
        </w:rPr>
        <w:t xml:space="preserve"> млн рублей, в том числе за счет средств федерального бюджета </w:t>
      </w:r>
      <w:r>
        <w:rPr>
          <w:sz w:val="28"/>
        </w:rPr>
        <w:t>– 2,1</w:t>
      </w:r>
      <w:r>
        <w:rPr>
          <w:color w:themeColor="text1" w:val="000000"/>
          <w:sz w:val="28"/>
        </w:rPr>
        <w:t> млн рублей.</w:t>
      </w:r>
    </w:p>
    <w:p w14:paraId="EE020000">
      <w:pPr>
        <w:widowControl w:val="0"/>
        <w:tabs>
          <w:tab w:leader="none" w:pos="7265" w:val="left"/>
        </w:tabs>
        <w:ind/>
        <w:rPr>
          <w:b w:val="1"/>
        </w:rPr>
      </w:pPr>
    </w:p>
    <w:p w14:paraId="EF020000">
      <w:pPr>
        <w:widowControl w:val="0"/>
        <w:tabs>
          <w:tab w:leader="none" w:pos="7265" w:val="left"/>
        </w:tabs>
        <w:ind/>
        <w:jc w:val="center"/>
        <w:rPr>
          <w:b w:val="1"/>
        </w:rPr>
      </w:pPr>
      <w:r>
        <w:rPr>
          <w:b w:val="1"/>
        </w:rPr>
        <w:t>РАЗДЕЛ</w:t>
      </w:r>
    </w:p>
    <w:p w14:paraId="F0020000">
      <w:pPr>
        <w:widowControl w:val="0"/>
        <w:tabs>
          <w:tab w:leader="none" w:pos="7265" w:val="left"/>
        </w:tabs>
        <w:ind/>
        <w:jc w:val="center"/>
        <w:rPr>
          <w:b w:val="1"/>
        </w:rPr>
      </w:pPr>
      <w:r>
        <w:rPr>
          <w:b w:val="1"/>
        </w:rPr>
        <w:t>«ЗДРАВООХРАНЕНИЕ»</w:t>
      </w:r>
    </w:p>
    <w:p w14:paraId="F1020000">
      <w:pPr>
        <w:widowControl w:val="0"/>
        <w:tabs>
          <w:tab w:leader="none" w:pos="7265" w:val="left"/>
        </w:tabs>
        <w:ind/>
        <w:jc w:val="center"/>
        <w:rPr>
          <w:b w:val="1"/>
        </w:rPr>
      </w:pPr>
    </w:p>
    <w:p w14:paraId="F2020000">
      <w:pPr>
        <w:ind w:firstLine="709" w:left="0"/>
        <w:jc w:val="both"/>
        <w:outlineLvl w:val="0"/>
        <w:rPr>
          <w:color w:themeColor="text1" w:val="000000"/>
        </w:rPr>
      </w:pPr>
      <w:r>
        <w:rPr>
          <w:color w:themeColor="text1" w:val="000000"/>
        </w:rPr>
        <w:t>В проекте областного бюджета по разделу «Здравоохранение» предусмотрены бюджетные ассигнования в 2025 году в сумме 36 026,6 млн рублей, в 2026 году – 28 132,3 млн рублей и в 2027 году – 24 972,4 млн рублей.</w:t>
      </w:r>
    </w:p>
    <w:p w14:paraId="F3020000">
      <w:pPr>
        <w:ind w:firstLine="709" w:left="0"/>
        <w:jc w:val="both"/>
      </w:pPr>
      <w:r>
        <w:t xml:space="preserve">По данному разделу расходы будут направлены </w:t>
      </w:r>
      <w:r>
        <w:t>на</w:t>
      </w:r>
      <w:r>
        <w:t>:</w:t>
      </w:r>
    </w:p>
    <w:p w14:paraId="F4020000">
      <w:pPr>
        <w:ind w:firstLine="709" w:left="0"/>
        <w:jc w:val="both"/>
      </w:pPr>
      <w:r>
        <w:t xml:space="preserve">финансовое обеспечение деятельности министерства здравоохранения Ростовской области в 2025 году – 344,9 млн рублей, в 2026 году – 358,0 млн рублей, в 2027 году – 367,5 млн рублей, включая средства федерального бюджета в рамках единой субвенции на осуществление переданных полномочий Российской Федерации в сфере охраны здоровья граждан </w:t>
      </w:r>
      <w:r>
        <w:t xml:space="preserve">в 2025 году </w:t>
      </w:r>
      <w:r>
        <w:t xml:space="preserve">в сумме 4,0 млн рублей и </w:t>
      </w:r>
      <w:r>
        <w:t xml:space="preserve">в 2026 году </w:t>
      </w:r>
      <w:r>
        <w:t>4,2 млн рублей;</w:t>
      </w:r>
    </w:p>
    <w:p w14:paraId="F5020000">
      <w:pPr>
        <w:ind w:firstLine="709" w:left="0"/>
        <w:jc w:val="both"/>
        <w:outlineLvl w:val="0"/>
        <w:rPr>
          <w:color w:themeColor="text1" w:val="000000"/>
        </w:rPr>
      </w:pPr>
      <w:r>
        <w:rPr>
          <w:color w:themeColor="text1" w:val="000000"/>
        </w:rPr>
        <w:t>финансовое обеспечение выполнения государственного задания в 2025 году – 9 819,5 млн рублей, в 2026 году – 10 345,7 млн рублей, в 2027 году – 10 896,5 млн рублей, которое планируется довести 63-м учреждениям здравоохранения на оказание услуг по специализированной наркологической, противотуберкулезной и психиатрической помощи, уходу за детьми, выполнению работ по освидетельствованиям, судебно-медицинской и иной экспертизе, исследованиям, вскрытиям, дезинфекции, дератизации в очагах инфекционных</w:t>
      </w:r>
      <w:r>
        <w:rPr>
          <w:color w:themeColor="text1" w:val="000000"/>
        </w:rPr>
        <w:t xml:space="preserve"> заболеваний; </w:t>
      </w:r>
    </w:p>
    <w:p w14:paraId="F6020000">
      <w:pPr>
        <w:ind w:firstLine="709" w:left="0"/>
        <w:jc w:val="both"/>
        <w:outlineLvl w:val="0"/>
        <w:rPr>
          <w:color w:themeColor="text1" w:val="000000"/>
        </w:rPr>
      </w:pPr>
      <w:r>
        <w:t xml:space="preserve">развитие и сопровождение цифровой </w:t>
      </w:r>
      <w:r>
        <w:t>инфраструктуры</w:t>
      </w:r>
      <w:r>
        <w:t xml:space="preserve"> и защиту информации министерства здравоохранения Ростовской области в 2025-2027 годах в сумме 5,7 млн рублей ежегодно.</w:t>
      </w:r>
    </w:p>
    <w:p w14:paraId="F7020000">
      <w:pPr>
        <w:ind w:firstLine="709" w:left="0"/>
        <w:jc w:val="both"/>
        <w:outlineLvl w:val="0"/>
        <w:rPr>
          <w:color w:themeColor="text1" w:val="000000"/>
        </w:rPr>
      </w:pPr>
      <w:r>
        <w:rPr>
          <w:color w:themeColor="text1" w:val="000000"/>
        </w:rPr>
        <w:t>На реализацию полномочия по организации безвозмездного обеспечения донорской кровью и ее компонентами областной Станцией переливания крови и ее филиалами с учетом выплаты денежной компенсации донорам за сдачу компонентов крови предусмотрено в 2025 году – 505,5 млн рублей, в  2026 году – 516,8 млн рублей, в 2027 году – 529,6 млн рублей.</w:t>
      </w:r>
    </w:p>
    <w:p w14:paraId="F8020000">
      <w:pPr>
        <w:ind w:firstLine="709" w:left="0"/>
        <w:jc w:val="both"/>
        <w:outlineLvl w:val="0"/>
        <w:rPr>
          <w:color w:themeColor="text1" w:val="000000"/>
        </w:rPr>
      </w:pPr>
      <w:r>
        <w:rPr>
          <w:color w:themeColor="text1" w:val="000000"/>
        </w:rPr>
        <w:t>Кроме того, в составе бюджета учитываются средства на оказание областными учреждениями здравоохранения высокотехнологичной медицинской помощи, не включенной в базовую программу обязательного медицинского страхования. В 2025 году учтено 1 338,5 млн рублей, в 2026 году – 1 369,2 млн рублей, в 2027 году – 1 170,9 млн рублей (отсутствует распределение средств федерального бюджета), ежегодно помощь будет оказана не менее 3 400 пациентам.</w:t>
      </w:r>
    </w:p>
    <w:p w14:paraId="F9020000">
      <w:pPr>
        <w:ind w:firstLine="709" w:left="0"/>
        <w:jc w:val="both"/>
        <w:outlineLvl w:val="0"/>
        <w:rPr>
          <w:color w:themeColor="text1" w:val="000000"/>
        </w:rPr>
      </w:pPr>
      <w:r>
        <w:rPr>
          <w:color w:themeColor="text1" w:val="000000"/>
        </w:rPr>
        <w:t>В целях обеспечения права отдельных категорий граждан на получение льготного лекарственного обеспечения в составе расходов бюджета учтены средства в 2025 году в объеме 9 608,3 млн рублей, в 2026 году – 9</w:t>
      </w:r>
      <w:r>
        <w:t> </w:t>
      </w:r>
      <w:r>
        <w:rPr>
          <w:color w:themeColor="text1" w:val="000000"/>
        </w:rPr>
        <w:t>962,4 млн рублей, в 2027 году – 7 755,9 млн рублей (отсутствует распределение средств федерального бюджета). Возможность получения льготных медикаментов предоставлена более 427 тысячам граждан ежегодно. Указанный объем расходов сформирован с учетом увеличения с 2025 года норматива расходов на одного пациента, что обусловило ежегодный рост расходов в среднем на 1,8 млрд рублей.</w:t>
      </w:r>
    </w:p>
    <w:p w14:paraId="FA020000">
      <w:pPr>
        <w:ind w:firstLine="709" w:left="0"/>
        <w:jc w:val="both"/>
        <w:outlineLvl w:val="0"/>
        <w:rPr>
          <w:color w:themeColor="text1" w:val="000000"/>
        </w:rPr>
      </w:pPr>
      <w:r>
        <w:rPr>
          <w:color w:themeColor="text1" w:val="000000"/>
        </w:rPr>
        <w:t xml:space="preserve">Отдельно следует отметить, что начиная с текущего года, в целях проведения противоопухолевой терапии пациентам, находящимся на амбулаторном лечении, в областном бюджете предусматриваются средства на приобретение медикаментов для последующей выдачи больным, страдающим онкологическими и </w:t>
      </w:r>
      <w:r>
        <w:rPr>
          <w:color w:themeColor="text1" w:val="000000"/>
        </w:rPr>
        <w:t>онкогематологическими</w:t>
      </w:r>
      <w:r>
        <w:rPr>
          <w:color w:themeColor="text1" w:val="000000"/>
        </w:rPr>
        <w:t xml:space="preserve"> заболеваниями, сверх расходов, учтенных в тарифе обязательного медицинского страхования. На данные цели в 2025 году предусмотрено 168,7 млн рублей, в плановом периоде – по 175,4 млн рублей.</w:t>
      </w:r>
    </w:p>
    <w:p w14:paraId="FB020000">
      <w:pPr>
        <w:ind w:firstLine="709" w:left="0"/>
        <w:jc w:val="both"/>
        <w:outlineLvl w:val="0"/>
        <w:rPr>
          <w:color w:themeColor="text1" w:val="000000"/>
        </w:rPr>
      </w:pPr>
      <w:r>
        <w:rPr>
          <w:color w:themeColor="text1" w:val="000000"/>
        </w:rPr>
        <w:t xml:space="preserve">Особое внимание уделяется раннему выявлению и лечению сахарного диабета, обеспечивается закупка систем непрерывного мониторинга уровня глюкозы в крови не только для детского населения, но и имеющим соответствующие назначения взрослым пациентам. Лекарственными препаратами обеспечиваются пациенты, которые перенесли острое нарушение мозгового кровообращения, инфаркт миокарда, аортокоронарное шунтирование, </w:t>
      </w:r>
      <w:r>
        <w:rPr>
          <w:color w:themeColor="text1" w:val="000000"/>
        </w:rPr>
        <w:t>ангиопластику</w:t>
      </w:r>
      <w:r>
        <w:rPr>
          <w:color w:themeColor="text1" w:val="000000"/>
        </w:rPr>
        <w:t xml:space="preserve"> коронарных артерий.</w:t>
      </w:r>
    </w:p>
    <w:p w14:paraId="FC020000">
      <w:pPr>
        <w:ind w:firstLine="709" w:left="0"/>
        <w:jc w:val="both"/>
        <w:outlineLvl w:val="0"/>
        <w:rPr>
          <w:color w:themeColor="text1" w:val="000000"/>
        </w:rPr>
      </w:pPr>
      <w:r>
        <w:rPr>
          <w:color w:themeColor="text1" w:val="000000"/>
        </w:rPr>
        <w:t>Кроме того, таким пациентам, а также пациентам с рядом других заболеваний, ежегодно планируется закупить не менее 911 путевок по санаторно-курортному долечиванию (реабилитации) на сумму 47,1 млн рублей.</w:t>
      </w:r>
    </w:p>
    <w:p w14:paraId="FD020000">
      <w:pPr>
        <w:ind w:firstLine="709" w:left="0"/>
        <w:jc w:val="both"/>
        <w:outlineLvl w:val="0"/>
        <w:rPr>
          <w:color w:themeColor="text1" w:val="000000"/>
        </w:rPr>
      </w:pPr>
      <w:r>
        <w:rPr>
          <w:color w:themeColor="text1" w:val="000000"/>
        </w:rPr>
        <w:t xml:space="preserve">Совершенствование медицинской реабилитации осуществляется и посредством оснащения (переоснащения) медицинскими изделиями </w:t>
      </w:r>
      <w:r>
        <w:rPr>
          <w:color w:themeColor="text1" w:val="000000"/>
        </w:rPr>
        <w:t>медорганизаций</w:t>
      </w:r>
      <w:r>
        <w:rPr>
          <w:color w:themeColor="text1" w:val="000000"/>
        </w:rPr>
        <w:t xml:space="preserve">, </w:t>
      </w:r>
      <w:r>
        <w:rPr>
          <w:color w:themeColor="text1" w:val="000000"/>
        </w:rPr>
        <w:t>оказывающих</w:t>
      </w:r>
      <w:r>
        <w:rPr>
          <w:color w:themeColor="text1" w:val="000000"/>
        </w:rPr>
        <w:t xml:space="preserve"> такой вид помощи. В 2025 году на данные цели предусмотрено 200,4 млн рублей.</w:t>
      </w:r>
    </w:p>
    <w:p w14:paraId="FE020000">
      <w:pPr>
        <w:ind w:firstLine="709" w:left="0"/>
        <w:jc w:val="both"/>
        <w:outlineLvl w:val="0"/>
        <w:rPr>
          <w:color w:themeColor="text1" w:val="000000"/>
        </w:rPr>
      </w:pPr>
      <w:r>
        <w:rPr>
          <w:color w:themeColor="text1" w:val="000000"/>
        </w:rPr>
        <w:t>Ежегодно планируется приобретение 17 видов иммунобиологических препаратов, а также 144,5 тыс. упаковок туберкулезных аллергенов для проведения диагностики детского населения, общая сумма закупки составит в 2025 году – 266,1 млн рублей, в 2026 году – 276,6 млн рублей, в 2027 году – 281,8 млн рублей.</w:t>
      </w:r>
    </w:p>
    <w:p w14:paraId="FF020000">
      <w:pPr>
        <w:ind w:firstLine="709" w:left="0"/>
        <w:jc w:val="both"/>
        <w:outlineLvl w:val="0"/>
        <w:rPr>
          <w:color w:themeColor="text1" w:val="000000"/>
        </w:rPr>
      </w:pPr>
      <w:r>
        <w:rPr>
          <w:color w:themeColor="text1" w:val="000000"/>
        </w:rPr>
        <w:t>Дополнительно с 2025 года для иммунизации детского населения против менингококковой инфекции и вируса папилломы человека, являющегося одним из факторов развития онкологических заболеваний во взрослом возрасте, законопроектом учтены средства в ежегодном объеме 136,6 млн рублей на закупку 24,5 тыс. доз вакцин.</w:t>
      </w:r>
    </w:p>
    <w:p w14:paraId="00030000">
      <w:pPr>
        <w:ind w:firstLine="709" w:left="0"/>
        <w:jc w:val="both"/>
        <w:outlineLvl w:val="0"/>
        <w:rPr>
          <w:color w:themeColor="text1" w:val="000000"/>
        </w:rPr>
      </w:pPr>
      <w:r>
        <w:rPr>
          <w:color w:themeColor="text1" w:val="000000"/>
        </w:rPr>
        <w:t>Проектом учтены расходы на реализацию мероприятий по совершенствованию оказания медицинской помощи больным туберкулезом, гепатитами</w:t>
      </w:r>
      <w:r>
        <w:rPr>
          <w:color w:themeColor="text1" w:val="000000"/>
        </w:rPr>
        <w:t xml:space="preserve"> В</w:t>
      </w:r>
      <w:r>
        <w:rPr>
          <w:color w:themeColor="text1" w:val="000000"/>
        </w:rPr>
        <w:t xml:space="preserve"> и С, ВИЧ-инфицированным в 2025 году в объеме 692,8 млн рублей, в плановом периоде по 714,7 млн рублей ежегодно.</w:t>
      </w:r>
    </w:p>
    <w:p w14:paraId="01030000">
      <w:pPr>
        <w:ind w:firstLine="709" w:left="0"/>
        <w:jc w:val="both"/>
        <w:outlineLvl w:val="0"/>
        <w:rPr>
          <w:color w:themeColor="text1" w:val="000000"/>
        </w:rPr>
      </w:pPr>
      <w:r>
        <w:rPr>
          <w:color w:themeColor="text1" w:val="000000"/>
        </w:rPr>
        <w:t>За счет средств бюджета для нужд учреждений здравоохранения планируется приобрести медицинское оборудование на сумму 3 157,7 млн рублей.</w:t>
      </w:r>
    </w:p>
    <w:p w14:paraId="02030000">
      <w:pPr>
        <w:ind w:firstLine="709" w:left="0"/>
        <w:jc w:val="both"/>
        <w:outlineLvl w:val="0"/>
        <w:rPr>
          <w:color w:themeColor="text1" w:val="000000"/>
        </w:rPr>
      </w:pPr>
      <w:r>
        <w:rPr>
          <w:color w:themeColor="text1" w:val="000000"/>
        </w:rPr>
        <w:t xml:space="preserve">На территории Ростовской области продолжится реализация проекта модернизации первичного звена здравоохранения, основным приоритетом которой является развитие первичной медико-санитарной помощи как основы системы оказания медицинской помощи. На 2025 год расходы в объеме 4 123,5 млн рублей, из которых 3 989,9 млн рублей – субсидия федерального бюджета, будут направлены </w:t>
      </w:r>
      <w:r>
        <w:rPr>
          <w:color w:themeColor="text1" w:val="000000"/>
        </w:rPr>
        <w:t>на</w:t>
      </w:r>
      <w:r>
        <w:rPr>
          <w:color w:themeColor="text1" w:val="000000"/>
        </w:rPr>
        <w:t>:</w:t>
      </w:r>
    </w:p>
    <w:p w14:paraId="03030000">
      <w:pPr>
        <w:ind w:firstLine="709" w:left="0"/>
        <w:jc w:val="both"/>
        <w:outlineLvl w:val="0"/>
        <w:rPr>
          <w:color w:themeColor="text1" w:val="000000"/>
        </w:rPr>
      </w:pPr>
      <w:r>
        <w:rPr>
          <w:color w:themeColor="text1" w:val="000000"/>
        </w:rPr>
        <w:t>проведение капитального ремонта 29 объектов здравоохранения;</w:t>
      </w:r>
    </w:p>
    <w:p w14:paraId="04030000">
      <w:pPr>
        <w:ind w:firstLine="709" w:left="0"/>
        <w:jc w:val="both"/>
        <w:outlineLvl w:val="0"/>
        <w:rPr>
          <w:color w:themeColor="text1" w:val="000000"/>
        </w:rPr>
      </w:pPr>
      <w:r>
        <w:rPr>
          <w:color w:themeColor="text1" w:val="000000"/>
        </w:rPr>
        <w:t>закупку более 4 тысяч единиц диагностического и иного оборудования в соответствии со стандартами оснащения медицинских организаций;</w:t>
      </w:r>
    </w:p>
    <w:p w14:paraId="05030000">
      <w:pPr>
        <w:ind w:firstLine="709" w:left="0"/>
        <w:jc w:val="both"/>
        <w:outlineLvl w:val="0"/>
        <w:rPr>
          <w:color w:themeColor="text1" w:val="000000"/>
        </w:rPr>
      </w:pPr>
      <w:r>
        <w:rPr>
          <w:color w:themeColor="text1" w:val="000000"/>
        </w:rPr>
        <w:t>приобретение 83 единиц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p w14:paraId="06030000">
      <w:pPr>
        <w:ind w:firstLine="709" w:left="0"/>
        <w:jc w:val="both"/>
        <w:outlineLvl w:val="0"/>
        <w:rPr>
          <w:color w:themeColor="text1" w:val="000000"/>
        </w:rPr>
      </w:pPr>
      <w:r>
        <w:rPr>
          <w:color w:themeColor="text1" w:val="000000"/>
        </w:rPr>
        <w:t xml:space="preserve">Дополнительно за счет средств областного бюджета к </w:t>
      </w:r>
      <w:r>
        <w:rPr>
          <w:color w:themeColor="text1" w:val="000000"/>
        </w:rPr>
        <w:t>1</w:t>
      </w:r>
      <w:r>
        <w:rPr>
          <w:color w:themeColor="text1" w:val="000000"/>
        </w:rPr>
        <w:t xml:space="preserve"> чтению законопроекта учтены средства в объеме свыше 2 234,1 млн рублей в целях выполнения комплексного капитального ремонта по 12 объектам, включенным в программу модернизации первичного звена.</w:t>
      </w:r>
    </w:p>
    <w:p w14:paraId="07030000">
      <w:pPr>
        <w:ind w:firstLine="709" w:left="0"/>
        <w:jc w:val="both"/>
        <w:outlineLvl w:val="0"/>
        <w:rPr>
          <w:color w:themeColor="text1" w:val="000000"/>
        </w:rPr>
      </w:pPr>
      <w:r>
        <w:rPr>
          <w:color w:themeColor="text1" w:val="000000"/>
        </w:rPr>
        <w:t xml:space="preserve">Вне рамок программы модернизации законопроектом предлагается учесть на предстоящие три года расходы в сумме 231,9 млн рублей, что позволит приобрести 24 единицы автомобилей для подразделений скорой помощи медучреждений в городах Таганрог, Шахты, Ростов-на-Дону, Новочеркасск, Волгодонск и </w:t>
      </w:r>
      <w:r>
        <w:rPr>
          <w:color w:themeColor="text1" w:val="000000"/>
        </w:rPr>
        <w:t>Матвеево-Курганском</w:t>
      </w:r>
      <w:r>
        <w:rPr>
          <w:color w:themeColor="text1" w:val="000000"/>
        </w:rPr>
        <w:t xml:space="preserve"> районе.</w:t>
      </w:r>
    </w:p>
    <w:p w14:paraId="08030000">
      <w:pPr>
        <w:ind w:firstLine="709" w:left="0"/>
        <w:jc w:val="both"/>
        <w:outlineLvl w:val="0"/>
        <w:rPr>
          <w:color w:themeColor="text1" w:val="000000"/>
        </w:rPr>
      </w:pPr>
      <w:r>
        <w:rPr>
          <w:color w:themeColor="text1" w:val="000000"/>
        </w:rPr>
        <w:t>В целях обеспечения доступности медицинской помощи продолжена работа по установке в сельских поселениях области модульных зданий фельдшерско-акушерских пунктов, врачебных амбулаторий и поликлиник. Планируется приобрести 11 единиц модульных зданий, суммарные расходы областного бюджета составят 785,9 млн рублей. Кроме того, на 2025 год проектом учтены средства на возведение модульного здания для размещения клинико-диагностической лаборатории Центра по профилактике и борьбе со СПИД в сумме 391,9 млн рублей, на 2025-2026 годы учтены аналогичные расходы для нужд филиалов Бюро судебно-медицинской экспертизы в семи городах области в сумме 487,0 млн рублей.</w:t>
      </w:r>
    </w:p>
    <w:p w14:paraId="09030000">
      <w:pPr>
        <w:ind w:firstLine="709" w:left="0"/>
        <w:jc w:val="both"/>
        <w:outlineLvl w:val="0"/>
        <w:rPr>
          <w:color w:themeColor="text1" w:val="000000"/>
        </w:rPr>
      </w:pPr>
      <w:r>
        <w:rPr>
          <w:color w:themeColor="text1" w:val="000000"/>
        </w:rPr>
        <w:t>В среднесрочной перспективе планируется продолжить мероприятия по кадровому обеспечению системы здравоохранения.</w:t>
      </w:r>
    </w:p>
    <w:p w14:paraId="0A030000">
      <w:pPr>
        <w:ind w:firstLine="709" w:left="0"/>
        <w:jc w:val="both"/>
        <w:outlineLvl w:val="0"/>
        <w:rPr>
          <w:color w:themeColor="text1" w:val="000000"/>
        </w:rPr>
      </w:pPr>
      <w:r>
        <w:rPr>
          <w:color w:themeColor="text1" w:val="000000"/>
        </w:rPr>
        <w:t>Сохраняются единовременные компенсационные выплаты медицинским работникам, трудоустроенным в сельские районы области и малонаселенные города. Ежегодно планируется привлечь 82 врача и 38 фельдшеров, общий объем выплат составит 298,5 млн рублей.</w:t>
      </w:r>
    </w:p>
    <w:p w14:paraId="0B030000">
      <w:pPr>
        <w:ind w:firstLine="709" w:left="0"/>
        <w:jc w:val="both"/>
        <w:outlineLvl w:val="0"/>
        <w:rPr>
          <w:color w:themeColor="text1" w:val="000000"/>
        </w:rPr>
      </w:pPr>
      <w:r>
        <w:rPr>
          <w:color w:themeColor="text1" w:val="000000"/>
        </w:rPr>
        <w:t>Планируется осуществлять выплаты по 500,0 тыс. рублей не менее 20-ти врачам, переехавшим на работу в «угледобывающие» территории.</w:t>
      </w:r>
    </w:p>
    <w:p w14:paraId="0C030000">
      <w:pPr>
        <w:ind w:firstLine="709" w:left="0"/>
        <w:jc w:val="both"/>
        <w:outlineLvl w:val="0"/>
        <w:rPr>
          <w:color w:themeColor="text1" w:val="000000"/>
        </w:rPr>
      </w:pPr>
      <w:r>
        <w:rPr>
          <w:color w:themeColor="text1" w:val="000000"/>
        </w:rPr>
        <w:t>Продолжится практика предоставления специальной социальной выплаты  для медицинских работников, оказывающих не входящую в базовую программу обязательного медицинского страхования первичную медико-санитарную помощь гражданам. Ежегодный объем предусматриваемых средств составляет 195,7 млн рублей, выплаты получат более 500 медработников.</w:t>
      </w:r>
    </w:p>
    <w:p w14:paraId="0D030000">
      <w:pPr>
        <w:ind w:firstLine="709" w:left="0"/>
        <w:jc w:val="both"/>
        <w:outlineLvl w:val="0"/>
        <w:rPr>
          <w:color w:themeColor="text1" w:val="000000"/>
        </w:rPr>
      </w:pPr>
      <w:r>
        <w:rPr>
          <w:color w:themeColor="text1" w:val="000000"/>
        </w:rPr>
        <w:t>Проектом закона предусмотрено осуществление дополнительных ежемесячных выплат для студентов и ординаторов, заказчиком целевого обучения которых является министерство здравоохранения Ростовской области, численность которых ежегодно увеличивается: и если получателями выплат в текущем году являются 916 человек, то в 2027 году их численность составит 2 592</w:t>
      </w:r>
      <w:r>
        <w:t> </w:t>
      </w:r>
      <w:r>
        <w:rPr>
          <w:color w:themeColor="text1" w:val="000000"/>
        </w:rPr>
        <w:t>человека. Объем предусмотренных средств – 216,5 млн рублей.</w:t>
      </w:r>
    </w:p>
    <w:p w14:paraId="0E030000">
      <w:pPr>
        <w:ind w:firstLine="709" w:left="0"/>
        <w:jc w:val="both"/>
      </w:pPr>
      <w:r>
        <w:t>На завершение работ по реконструкции зданий поликлинического отделения МБУЗ «ЦРБ» в Тацинском районе в</w:t>
      </w:r>
      <w:r>
        <w:t xml:space="preserve"> 2025 году предусмотрено 212,5</w:t>
      </w:r>
      <w:r>
        <w:t> </w:t>
      </w:r>
      <w:r>
        <w:t xml:space="preserve">млн рублей. </w:t>
      </w:r>
    </w:p>
    <w:p w14:paraId="0F030000">
      <w:pPr>
        <w:ind w:firstLine="709" w:left="0"/>
        <w:jc w:val="both"/>
        <w:outlineLvl w:val="0"/>
        <w:rPr>
          <w:color w:themeColor="text1" w:val="000000"/>
        </w:rPr>
      </w:pPr>
      <w:r>
        <w:rPr>
          <w:color w:themeColor="text1" w:val="000000"/>
        </w:rPr>
        <w:t xml:space="preserve">Кроме того, по отрасли запланированы расходы на реализацию мероприятий по адаптации для инвалидов и </w:t>
      </w:r>
      <w:r>
        <w:rPr>
          <w:color w:themeColor="text1" w:val="000000"/>
        </w:rPr>
        <w:t>маломобильных</w:t>
      </w:r>
      <w:r>
        <w:rPr>
          <w:color w:themeColor="text1" w:val="000000"/>
        </w:rPr>
        <w:t xml:space="preserve"> групп населения учреждений здравоохранения в 2025 году – 19,6 млн рублей, в 2026 году – 20,4 млн рублей.</w:t>
      </w:r>
    </w:p>
    <w:p w14:paraId="10030000">
      <w:pPr>
        <w:ind w:firstLine="709" w:left="0"/>
        <w:jc w:val="both"/>
        <w:rPr>
          <w:spacing w:val="-1"/>
        </w:rPr>
      </w:pPr>
      <w:r>
        <w:rPr>
          <w:spacing w:val="-1"/>
        </w:rPr>
        <w:t>Также в законопроекте учтены расходы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 в 2025 году – 22,9 млн рублей, в 2026 году – 23,4 млн рублей, в 2027 году – 23,2 млн рублей.</w:t>
      </w:r>
    </w:p>
    <w:p w14:paraId="11030000">
      <w:pPr>
        <w:ind/>
        <w:jc w:val="center"/>
        <w:outlineLvl w:val="2"/>
        <w:rPr>
          <w:b w:val="1"/>
        </w:rPr>
      </w:pPr>
    </w:p>
    <w:p w14:paraId="12030000">
      <w:pPr>
        <w:ind/>
        <w:jc w:val="center"/>
        <w:outlineLvl w:val="2"/>
        <w:rPr>
          <w:b w:val="1"/>
        </w:rPr>
      </w:pPr>
      <w:r>
        <w:rPr>
          <w:b w:val="1"/>
        </w:rPr>
        <w:t>РАЗДЕЛ</w:t>
      </w:r>
    </w:p>
    <w:p w14:paraId="13030000">
      <w:pPr>
        <w:ind/>
        <w:jc w:val="center"/>
        <w:outlineLvl w:val="2"/>
        <w:rPr>
          <w:b w:val="1"/>
        </w:rPr>
      </w:pPr>
      <w:r>
        <w:rPr>
          <w:b w:val="1"/>
        </w:rPr>
        <w:t>«СОЦИАЛЬНАЯ ПОЛИТИКА»</w:t>
      </w:r>
    </w:p>
    <w:p w14:paraId="14030000">
      <w:pPr>
        <w:ind w:firstLine="709" w:left="0"/>
        <w:jc w:val="both"/>
      </w:pPr>
    </w:p>
    <w:p w14:paraId="15030000">
      <w:pPr>
        <w:ind w:firstLine="709" w:left="0"/>
        <w:jc w:val="both"/>
        <w:outlineLvl w:val="0"/>
      </w:pPr>
      <w:r>
        <w:t>В проекте областного бюджета по разделу «Социальная политика» предусмотрены бюджетные ассигнования в 2025 году – 83 492,9 млн рублей, в 2026 году – 84 603,5 млн рублей и в 2027 году – 86 455,5 млн рублей.</w:t>
      </w:r>
    </w:p>
    <w:p w14:paraId="16030000">
      <w:pPr>
        <w:ind w:firstLine="708" w:left="0"/>
        <w:jc w:val="both"/>
      </w:pPr>
      <w:r>
        <w:rPr>
          <w:color w:themeColor="text1" w:val="000000"/>
        </w:rPr>
        <w:t xml:space="preserve">В составе расходов раздела предусмотрены средства на уплату страховых взносов по обязательному медицинскому страхованию неработающего населения, размер которых в 2025 году составит 24 534,8 млн рублей, в 2026 году – 26 000,1 млн рублей и в 2027 году – 27 039,5 млн рублей. Расчет осуществлялся исходя из численности застрахованного в системе ОМС неработающего населения, составившей свыше 2 млн 397 тыс. человек. </w:t>
      </w:r>
      <w:r>
        <w:t>В связи с изменением коэффициента у</w:t>
      </w:r>
      <w:r>
        <w:t xml:space="preserve">дорожания стоимости медицинских услуг, размер взноса подлежит пересчету ко </w:t>
      </w:r>
      <w:r>
        <w:t>2</w:t>
      </w:r>
      <w:r>
        <w:t xml:space="preserve"> чтению законопроекта об областном бюджете.</w:t>
      </w:r>
    </w:p>
    <w:p w14:paraId="17030000">
      <w:pPr>
        <w:tabs>
          <w:tab w:leader="none" w:pos="7265" w:val="left"/>
        </w:tabs>
        <w:ind w:firstLine="709" w:left="0"/>
        <w:jc w:val="both"/>
      </w:pPr>
      <w:r>
        <w:rPr>
          <w:color w:themeColor="text1" w:val="000000"/>
        </w:rPr>
        <w:t xml:space="preserve">В рамках обеспечения выполнения полномочий </w:t>
      </w:r>
      <w:r>
        <w:t>в сфере социального обслуживания населения осуществляют свою деятельность 85 государственных учреждений социального обслуживания, в том числе 19 домов-интернатов для престарелых и инвалидов, 14 психоневрологических интернатов, 7 социальных приютов для детей и подростков, 26 социально-реабилитационных центров для несовершеннолетних, 6 центров помощи семье и детям, 1 комплексный центр социального обслуживания населения, 1 центр психолого-педагогической помощи семье и</w:t>
      </w:r>
      <w:r>
        <w:t xml:space="preserve"> детям, 1 детский дом-интернат для умственно отсталых детей, 4</w:t>
      </w:r>
      <w:r>
        <w:t> </w:t>
      </w:r>
      <w:r>
        <w:t>реабилитационных центра для детей с ограниченными возможностями, 6</w:t>
      </w:r>
      <w:r>
        <w:t> </w:t>
      </w:r>
      <w:r>
        <w:t>учреждений социальной помощи для лиц без определенного места жительства.</w:t>
      </w:r>
    </w:p>
    <w:p w14:paraId="18030000">
      <w:pPr>
        <w:tabs>
          <w:tab w:leader="none" w:pos="7265" w:val="left"/>
        </w:tabs>
        <w:ind w:firstLine="709" w:left="0"/>
        <w:jc w:val="both"/>
      </w:pPr>
      <w:r>
        <w:t>На финансовое обеспечение деятельности указанных учреждений законопроектом предусмотрены ассигнования в 2025 году в сумме 5</w:t>
      </w:r>
      <w:r>
        <w:t> </w:t>
      </w:r>
      <w:r>
        <w:t>219,4</w:t>
      </w:r>
      <w:r>
        <w:t> </w:t>
      </w:r>
      <w:r>
        <w:t>млн</w:t>
      </w:r>
      <w:r>
        <w:t> </w:t>
      </w:r>
      <w:r>
        <w:t>рублей, в 2026 году – 5 424,0 млн рублей, в 2027 году – 5 633,2 млн рублей.</w:t>
      </w:r>
    </w:p>
    <w:p w14:paraId="19030000">
      <w:pPr>
        <w:tabs>
          <w:tab w:leader="none" w:pos="7265" w:val="left"/>
        </w:tabs>
        <w:ind w:firstLine="709" w:left="0"/>
        <w:jc w:val="both"/>
      </w:pPr>
      <w:r>
        <w:t>На финансовое обеспечение выполнения муниципального задания 62 муниципальными учреждениями социального обслуживания населения в рамках осуществления переданных государственных полномочий в сфере социального обслуживания, предусмотренных пунктами 2, 3, 4 и 5 части 1 и частью 1.1 статьи 6 Областного закона от 03.09.2014 № 222–ЗС «О социальном обслуживании граждан в Ростовской области» планируется направить в 2025 году – 7 991,8 млн рублей, в 2026 году</w:t>
      </w:r>
      <w:r>
        <w:t xml:space="preserve"> – 8 486,4 млн рублей, в 2027 году – 8 989,6 млн рублей. </w:t>
      </w:r>
    </w:p>
    <w:p w14:paraId="1A030000">
      <w:pPr>
        <w:ind w:firstLine="708" w:left="0"/>
        <w:jc w:val="both"/>
      </w:pPr>
      <w:r>
        <w:t>В составе расходов также предусмотрены ассигнования на финансовое обеспечение деятельности 23 государственных казенных учреждений социального обслуживания центров помощи детям-сиротам и детям, оставшимся без попечения родителей, подведомственных министерству общего  и профессионального образования Ростовской области в 2025 году – 858,1 млн рублей, в 2026 году – 988,2 млн рублей и в 2027 году – 999,7 млн рублей.</w:t>
      </w:r>
    </w:p>
    <w:p w14:paraId="1B030000">
      <w:pPr>
        <w:tabs>
          <w:tab w:leader="none" w:pos="7265" w:val="left"/>
        </w:tabs>
        <w:ind w:firstLine="709" w:left="0"/>
        <w:jc w:val="both"/>
      </w:pPr>
      <w:r>
        <w:t xml:space="preserve">Предоставление социальных услуг гражданам, нуждающимся в социальном обслуживании на дому, осуществляется социально-ориентированными некоммерческими организациями, объем на предоставление </w:t>
      </w:r>
      <w:r>
        <w:t>субсидий</w:t>
      </w:r>
      <w:r>
        <w:t xml:space="preserve"> которым составит в 2025 году – 572,3 млн рублей, в 2026 году – 595,2 млн рублей, в 2027 году – 619,0 млн рублей. </w:t>
      </w:r>
    </w:p>
    <w:p w14:paraId="1C030000">
      <w:pPr>
        <w:tabs>
          <w:tab w:leader="none" w:pos="7265" w:val="left"/>
        </w:tabs>
        <w:ind w:firstLine="709" w:left="0"/>
        <w:jc w:val="both"/>
      </w:pPr>
      <w:r>
        <w:t>Также запланированы субсидии поставщикам социальных услуг на компенсацию затрат при получении гражданами социальных услуг, предусмотренных индивидуальной программой предоставления социальных услуг, в 2025–2027 годах по 0,2 млн рублей ежегодно и субсидии организациям, осуществляющим деятельность в сфере социальной реабилитации больных наркоманией, по оказанию гражданам, больным наркоманией и прошедшим лечение от наркомании, услуг по социальной реабилитации с использованием сертификата в 2025–2027 годах по</w:t>
      </w:r>
      <w:r>
        <w:t xml:space="preserve"> 6,3 млн рублей ежегодно.</w:t>
      </w:r>
    </w:p>
    <w:p w14:paraId="1D030000">
      <w:pPr>
        <w:ind w:firstLine="709" w:left="0"/>
        <w:jc w:val="both"/>
      </w:pPr>
      <w:r>
        <w:t>На капитальный ремонт 2 государственных учреждений социального обслуживания населения планируется направить средства областного бюджета в 2025 году – 186,7 млн рублей.</w:t>
      </w:r>
    </w:p>
    <w:p w14:paraId="1E030000">
      <w:pPr>
        <w:ind w:firstLine="709" w:left="0"/>
        <w:jc w:val="both"/>
      </w:pPr>
      <w:r>
        <w:t xml:space="preserve">Как и в предыдущие </w:t>
      </w:r>
      <w:r>
        <w:t>годы</w:t>
      </w:r>
      <w:r>
        <w:t xml:space="preserve"> приоритетами бюджетной политики Ростовской области является оказание адресной поддержки наиболее нуждающимся и социально-уязвимым категориям граждан (семьям с детьми, одиноким престарелым, инвалидам).</w:t>
      </w:r>
    </w:p>
    <w:p w14:paraId="1F030000">
      <w:pPr>
        <w:pStyle w:val="Style_2"/>
        <w:tabs>
          <w:tab w:leader="none" w:pos="7265" w:val="left"/>
        </w:tabs>
        <w:ind w:firstLine="709" w:left="0"/>
        <w:jc w:val="both"/>
      </w:pPr>
      <w:r>
        <w:t>Проектом областного закона обеспечено в полном объеме исполнение законодательно установленных публичных нормативных и социально-значимых обязательств, в том числе по предоставлению мер социальной поддержки и выплате социальных пособий и компенсаций.</w:t>
      </w:r>
    </w:p>
    <w:p w14:paraId="20030000">
      <w:pPr>
        <w:tabs>
          <w:tab w:leader="none" w:pos="7265" w:val="left"/>
        </w:tabs>
        <w:ind w:firstLine="709" w:left="0"/>
        <w:jc w:val="both"/>
      </w:pPr>
      <w:r>
        <w:t xml:space="preserve">Приоритетным направлением социальной политики в области остается поддержка материнства и детства. По данному направлению запланированы расходы областного бюджета, в том числе на осуществление переданных полномочий органам местного самоуправления, </w:t>
      </w:r>
      <w:r>
        <w:t>на</w:t>
      </w:r>
      <w:r>
        <w:t>:</w:t>
      </w:r>
    </w:p>
    <w:p w14:paraId="21030000">
      <w:pPr>
        <w:ind w:firstLine="709" w:left="0"/>
        <w:jc w:val="both"/>
        <w:outlineLvl w:val="0"/>
      </w:pPr>
      <w:r>
        <w:t>социальную поддержку детей-сирот и детей, оставшихся без попечения родителей, а также лиц из числа детей сирот и детей, оставшихся без попечения родителей в 2025 году – 1 308,5 млн рублей, в 2026 году – 1 360,5 млн рублей, в 2027 году – 1 414,6 млн рублей;</w:t>
      </w:r>
    </w:p>
    <w:p w14:paraId="22030000">
      <w:pPr>
        <w:ind w:firstLine="709" w:left="0"/>
        <w:jc w:val="both"/>
        <w:outlineLvl w:val="0"/>
      </w:pPr>
      <w:r>
        <w:t>социальную поддержку граждан, усыновивших (удочеривших) ребенка (детей) в части единовременного денежного пособия в 2025 году – 4,6 млн рублей, в 2026 году – 4,7 млн рублей, в 2027 году – 4,8 млн рублей;</w:t>
      </w:r>
    </w:p>
    <w:p w14:paraId="23030000">
      <w:pPr>
        <w:ind w:firstLine="709" w:left="0"/>
        <w:jc w:val="both"/>
        <w:outlineLvl w:val="0"/>
      </w:pPr>
      <w:r>
        <w:t xml:space="preserve">выплату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2025 году в сумме 990,9 млн рублей, в 2026 году – 992,5 млн рублей, в 2027 году – 992,1 млн рублей.      </w:t>
      </w:r>
    </w:p>
    <w:p w14:paraId="24030000">
      <w:pPr>
        <w:ind w:firstLine="708" w:left="0"/>
        <w:jc w:val="both"/>
      </w:pPr>
      <w:r>
        <w:t>Также законопроектом предусмотрены ассигнования на социальную поддержку детей-сирот и детей, оставшихся без попечения родителей, лиц из их числа, обучающихся в государственных образовательных учреждениях, в 2025 году в объеме 618,1 млн рублей, в 2026 году – 640,4 млн рублей и в 2027 году – 663,7 млн рублей.</w:t>
      </w:r>
    </w:p>
    <w:p w14:paraId="25030000">
      <w:pPr>
        <w:ind w:firstLine="709" w:left="0"/>
        <w:jc w:val="both"/>
      </w:pPr>
      <w:r>
        <w:t xml:space="preserve">В связи с принятием Указа Президента Российской Федерации от 23.01.2024 № 63 «О мерах социальной поддержки многодетных семей», а также принятием соответствующих нормативных актов во исполнение Указа в областном бюджете на поддержку семей с детьми, в том числе многодетных семей, в 2025-2027 годах запланированы расходы </w:t>
      </w:r>
      <w:r>
        <w:t>на</w:t>
      </w:r>
      <w:r>
        <w:t>:</w:t>
      </w:r>
    </w:p>
    <w:p w14:paraId="26030000">
      <w:pPr>
        <w:ind w:firstLine="709" w:left="0"/>
        <w:jc w:val="both"/>
      </w:pPr>
      <w:r>
        <w:t xml:space="preserve">социальную поддержку детей из многодетных семей в 2025 году –                 2 707,7 млн рублей, в 2026 году – 3 096,3 млн рублей, в 2027 году – 3 220,2 млн рублей; </w:t>
      </w:r>
    </w:p>
    <w:p w14:paraId="27030000">
      <w:pPr>
        <w:ind w:firstLine="709" w:left="0"/>
        <w:jc w:val="both"/>
      </w:pPr>
      <w:r>
        <w:t xml:space="preserve">выплату ежемесячного пособия на ребенка из малоимущих семей в 2025 году – 1 451,2 млн рублей, в 2026 году – 1 509,8 млн рублей, в 2027 году –          1 571,1 млн рублей; </w:t>
      </w:r>
    </w:p>
    <w:p w14:paraId="28030000">
      <w:pPr>
        <w:ind w:firstLine="709" w:left="0"/>
        <w:jc w:val="both"/>
      </w:pPr>
      <w:r>
        <w:t>предоставление средств по сертификату на региональный материнский капитал в 2025 году – 575,8 млн рублей, в 2026 году – 598,9 млн рублей, в 2027 году – 622,8 млн рублей;</w:t>
      </w:r>
    </w:p>
    <w:p w14:paraId="29030000">
      <w:pPr>
        <w:ind w:firstLine="709" w:left="0"/>
        <w:jc w:val="both"/>
      </w:pPr>
      <w:r>
        <w:t xml:space="preserve">выплату на детей первого-второго года жизни из малоимущих семей в 2025 году – 362,1 млн рублей, в 2026 году – 376,9 млн рублей, в 2027 году –                     391,9 млн рублей; </w:t>
      </w:r>
    </w:p>
    <w:p w14:paraId="2A030000">
      <w:pPr>
        <w:ind w:firstLine="709" w:left="0"/>
        <w:jc w:val="both"/>
      </w:pPr>
      <w:r>
        <w:t>социальную поддержку малоимущих семей, имеющих детей, в виде ежемесячной денежной выплаты в размере определенного в Ростовской области прожиточного минимума для детей, в случае рождения третьего ребенка или последующих детей до достижения ребенком возраста трех лет, в 2025 году – 305,4 млн рублей, в том числе за счет средств из федерального бюджета 255,8 млн рублей;</w:t>
      </w:r>
    </w:p>
    <w:p w14:paraId="2B030000">
      <w:pPr>
        <w:ind w:firstLine="709" w:left="0"/>
        <w:jc w:val="both"/>
      </w:pPr>
      <w:r>
        <w:t>социальную поддержку беременных женщин из малоимущих семей, кормящих матерей и детей в возрасте до трех лет из малоимущих семей                         в 2025 году – 153,6 млн рублей, в 2026 году – 159,9 млн рублей, в 2027 году –                  166,3 млн рублей;</w:t>
      </w:r>
    </w:p>
    <w:p w14:paraId="2C030000">
      <w:pPr>
        <w:ind w:firstLine="709" w:left="0"/>
        <w:jc w:val="both"/>
      </w:pPr>
      <w:r>
        <w:t>предоставление малоимущим многодетным семьям автотранспортного средства в 2025 году – 45,8 млн рублей, в 2026 году – 47,6 млн рублей,                   в 2027 году – 49,5 млн рублей;</w:t>
      </w:r>
    </w:p>
    <w:p w14:paraId="2D030000">
      <w:pPr>
        <w:ind w:firstLine="709" w:left="0"/>
        <w:jc w:val="both"/>
      </w:pPr>
      <w:r>
        <w:t>предоставление меры социальной поддержки семьям, имеющих детей с </w:t>
      </w:r>
      <w:r>
        <w:t>фенилкетонурией</w:t>
      </w:r>
      <w:r>
        <w:t>, в 2025-2027 годах по 8,3 млн рублей ежегодно;</w:t>
      </w:r>
    </w:p>
    <w:p w14:paraId="2E030000">
      <w:pPr>
        <w:ind w:firstLine="709" w:left="0"/>
        <w:jc w:val="both"/>
      </w:pPr>
      <w:r>
        <w:t xml:space="preserve">награждение многодетных матерей, достойно воспитывающих своих детей, Почетными дипломами Губернатора Ростовской области «За заслуги в воспитании детей» с вручением единовременного денежного поощрения на торжественном приеме в честь Дня матери в 2025-2027 годах по 5,8 млн рублей ежегодно; </w:t>
      </w:r>
    </w:p>
    <w:p w14:paraId="2F030000">
      <w:pPr>
        <w:ind w:firstLine="709" w:left="0"/>
        <w:jc w:val="both"/>
      </w:pPr>
      <w:r>
        <w:t>единовременную денежную выплату семьям в связи с рождением одновременно трех и более детей в 2025 году – 1,3 млн рублей, в 2026 году – 1,9 млн рублей, в 2027 году – 2,5 млн рублей.</w:t>
      </w:r>
    </w:p>
    <w:p w14:paraId="30030000">
      <w:pPr>
        <w:ind w:firstLine="709" w:left="0"/>
        <w:jc w:val="both"/>
      </w:pPr>
      <w:r>
        <w:t>Помимо указанного, запланированы расходы на предоставление бюджету Фонда пенсионного и социального страхования Российской Федерации субвенции на  выплату ежемесячного пособия в связи с рождением и воспитанием ребенка в 2025 году – 7 415,6 млн рублей, в 2026-2027 годах по 8 077,4 млн рублей ежегодно.</w:t>
      </w:r>
    </w:p>
    <w:p w14:paraId="31030000">
      <w:pPr>
        <w:ind w:firstLine="709" w:left="0"/>
        <w:jc w:val="both"/>
      </w:pPr>
      <w:r>
        <w:t xml:space="preserve">В связи с внесением изменений в Областной закон от 22.10.2004 № 165-ЗС «О социальной поддержке детства в Ростовской области» в части предоставления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 законопроектом предусмотрены в 2025-2027 годах </w:t>
      </w:r>
      <w:r>
        <w:t>средства</w:t>
      </w:r>
      <w:r>
        <w:t xml:space="preserve"> на реализацию вновь установленных полномочий в </w:t>
      </w:r>
      <w:r>
        <w:t>объеме</w:t>
      </w:r>
      <w:r>
        <w:t xml:space="preserve"> 131,3 млн рублей в 2025 году, 136,3 млн рублей в 2026 году и 141,5 млн рублей в 2027 году.</w:t>
      </w:r>
    </w:p>
    <w:p w14:paraId="32030000">
      <w:pPr>
        <w:ind w:firstLine="709" w:left="0"/>
        <w:jc w:val="both"/>
      </w:pPr>
      <w:r>
        <w:t>В предстоящей трехлетке на предоставление мер социальной поддержки отдельным категориям граждан учтены ассигнования по следующим основным направлениям:</w:t>
      </w:r>
    </w:p>
    <w:p w14:paraId="33030000">
      <w:pPr>
        <w:tabs>
          <w:tab w:leader="none" w:pos="7265" w:val="left"/>
        </w:tabs>
        <w:ind w:firstLine="709" w:left="0"/>
        <w:jc w:val="both"/>
      </w:pPr>
      <w:r>
        <w:t>предоставление компенсации расходов на уплату взносов на капитальный ремонт отдельным категориям граждан в 2025 году – 178,0 млн рублей,                           в 2026 году – 185,2 млн рублей, в 2027 году – 192,6 млн рублей;</w:t>
      </w:r>
    </w:p>
    <w:p w14:paraId="34030000">
      <w:pPr>
        <w:ind w:firstLine="709" w:left="0"/>
        <w:jc w:val="both"/>
      </w:pPr>
      <w:r>
        <w:t xml:space="preserve">выплата денежной компенсации расходов за санаторно-курортное обслуживание работникам государственных и муниципальных учреждений в              2025 году – 45,9 млн рублей, в 2026 году – 47,7 млн рублей, в 2027 году –               49,6 млн рублей; </w:t>
      </w:r>
    </w:p>
    <w:p w14:paraId="35030000">
      <w:pPr>
        <w:ind w:firstLine="709" w:left="0"/>
        <w:jc w:val="both"/>
      </w:pPr>
      <w:r>
        <w:t>предоставление мер социальной поддержки отдельным категориям граждан по оплате расходов на газификацию жилья в 2025-2027 годах по 133,6 млн рублей ежегодно;</w:t>
      </w:r>
    </w:p>
    <w:p w14:paraId="36030000">
      <w:pPr>
        <w:ind w:firstLine="709" w:left="0"/>
        <w:jc w:val="both"/>
      </w:pPr>
      <w:r>
        <w:t xml:space="preserve">социальная поддержка ВИЧ-инфицированных в детском возрасте во время пребывания в </w:t>
      </w:r>
      <w:r>
        <w:t>нозокомиальных</w:t>
      </w:r>
      <w:r>
        <w:t xml:space="preserve"> очагах (медицинских организациях)                                 в 2025-2027 годах по 18,9 млн рублей ежегодно;</w:t>
      </w:r>
    </w:p>
    <w:p w14:paraId="37030000">
      <w:pPr>
        <w:ind w:firstLine="709" w:left="0"/>
        <w:jc w:val="both"/>
      </w:pPr>
      <w:r>
        <w:t>предоставление адресной социальной помощи в натуральном виде                в 2025- 2026 годах по 5,1 млн рублей ежегодно;</w:t>
      </w:r>
    </w:p>
    <w:p w14:paraId="38030000">
      <w:pPr>
        <w:ind w:firstLine="709" w:left="0"/>
        <w:jc w:val="both"/>
      </w:pPr>
      <w:r>
        <w:t xml:space="preserve">выплата единовременной материальной помощи для инвалидов и участников Великой Отечественной войны в 2025 году – 2,5 млн рублей,                       в 2026 году – 2,0 млн рублей, в 2027 году – 1,5 млн рублей; </w:t>
      </w:r>
    </w:p>
    <w:p w14:paraId="39030000">
      <w:pPr>
        <w:ind w:firstLine="709" w:left="0"/>
        <w:jc w:val="both"/>
      </w:pPr>
      <w:r>
        <w:t>социальная поддержка граждан, удостоенных звания «Почетный гражданин Ростовской области», в 2025 году – 1,8 млн рублей, в 2026 году – 2,1 млн рублей, в 2027 году – 2,2 млн рублей.</w:t>
      </w:r>
    </w:p>
    <w:p w14:paraId="3A030000">
      <w:pPr>
        <w:ind w:firstLine="709" w:left="0"/>
        <w:jc w:val="both"/>
      </w:pPr>
      <w:r>
        <w:t>Муниципальным образованиям переданы 22 государственных полномочия на осуществление мер социальной поддержки отдельным категориям граждан.</w:t>
      </w:r>
    </w:p>
    <w:p w14:paraId="3B030000">
      <w:pPr>
        <w:ind w:firstLine="709" w:left="0"/>
        <w:jc w:val="both"/>
      </w:pPr>
      <w:r>
        <w:t>Также в данном законопроекте предусмотрены ассигнования на реализацию переданных полномочий в виде субвенций за счет средств областного и федерального бюджетов по следующим направлениям:</w:t>
      </w:r>
    </w:p>
    <w:p w14:paraId="3C030000">
      <w:pPr>
        <w:ind w:firstLine="709" w:left="0"/>
        <w:jc w:val="both"/>
      </w:pPr>
      <w:r>
        <w:t xml:space="preserve">социальную поддержку региональных льготных категорий граждан, в том числе: ветеранов труда, тружеников тыла, граждан, пострадавших от политических репрессий, ветеранов труда Ростовской области, отдельных категорий граждан, работающих и проживающих в сельской местности, в 2025 году – 9 643,5 млн рублей, в 2026 году – 10 004,0 млн рублей, в 2027 году – 10 378,6 млн рублей; </w:t>
      </w:r>
    </w:p>
    <w:p w14:paraId="3D030000">
      <w:pPr>
        <w:ind w:firstLine="709" w:left="0"/>
        <w:jc w:val="both"/>
      </w:pPr>
      <w:r>
        <w:t>предоставление субсидий на оплату жилых помещений и коммунальных услуг семьям в качестве основной гарантии оплаты за услуги жилищно-коммунального хозяйства в 2025 году – 1 944,2 млн рублей, в 2026 году – 2 018,0 млн рублей, в 2027 году – 2 094,7 млн рублей;</w:t>
      </w:r>
    </w:p>
    <w:p w14:paraId="3E030000">
      <w:pPr>
        <w:ind w:firstLine="709" w:left="0"/>
        <w:jc w:val="both"/>
      </w:pPr>
      <w:r>
        <w:t>предоставление материальной и иной помощи для погребения в 2025 году – 55,9 млн рублей, в 2026 году – 58,1 млн рублей, в 2027 году – 60,5 млн рублей;</w:t>
      </w:r>
    </w:p>
    <w:p w14:paraId="3F030000">
      <w:pPr>
        <w:ind w:firstLine="709" w:left="0"/>
        <w:jc w:val="both"/>
      </w:pPr>
      <w:r>
        <w:t>оказание государственной социальной помощи в виде социального пособия и (или) на основании социального контракта малоимущим семьям и одиноко проживающим гражданам в Ростовской области в 2025-2027 годах по 779,0 млн рублей ежегодно, а также государственной социальной помощи на основании социального контракта отдельным категориям граждан в 2025 году – 1 336,8 млн рублей, в 2026 году – 1 347,7 млн рублей, в 2027 году</w:t>
      </w:r>
      <w:r>
        <w:t xml:space="preserve"> – 1 350,1 млн рублей;</w:t>
      </w:r>
    </w:p>
    <w:p w14:paraId="40030000">
      <w:pPr>
        <w:tabs>
          <w:tab w:leader="none" w:pos="7265" w:val="left"/>
        </w:tabs>
        <w:ind w:firstLine="709" w:left="0"/>
        <w:jc w:val="both"/>
      </w:pPr>
      <w:r>
        <w:t>оказание государственной социальной помощи в виде адресной социальной выплаты отдельным категориям граждан, проживающим в муниципальных образованиях Ростовской области, в которых тарифы для населения за услуги по холодному водоснабжению и водоотведению установлены выше критериев доступности платы за холодное водоснабжение и водоотведение, в 2025 году – 227,2 млн рублей, в 2026 году – 227,8 млн рублей, в 2027 году – 228,5 млн рублей;</w:t>
      </w:r>
    </w:p>
    <w:p w14:paraId="41030000">
      <w:pPr>
        <w:ind w:firstLine="709" w:left="0"/>
        <w:jc w:val="both"/>
      </w:pPr>
      <w:r>
        <w:t>инвалидам, ветеранам, гражданам, подвергшимся радиационному воздействию вследствие ядерных испытаний на Семипалатинском полигоне и катастрофы на Чернобыльской АЭС, по оплате жилого помещения и коммунальных услуг в 2025 году – 2 848,5 млн рублей, в 2026-2027 годах по 2 677,4 млн рублей ежегодно;</w:t>
      </w:r>
    </w:p>
    <w:p w14:paraId="42030000">
      <w:pPr>
        <w:ind w:firstLine="709" w:left="0"/>
        <w:jc w:val="both"/>
      </w:pPr>
      <w:r>
        <w:t>гражданам, награжденным нагрудным знаком «Почетный донор России», в 2025 году – 209,0 млн рублей, в 2026-2027 годах по 217,4 млн рублей ежегодно.</w:t>
      </w:r>
    </w:p>
    <w:p w14:paraId="43030000">
      <w:pPr>
        <w:ind w:firstLine="709" w:left="0"/>
        <w:jc w:val="both"/>
      </w:pPr>
      <w:r>
        <w:t>Впервые, начиная с 2025 года в связи с установлением звания «Почетный донор Ростовской области» в областном бюджете предусмотрены расходы на выплату лицам, награжденным нагрудным знаком «Почетный донор Ростовской области», в 2025 году – 25,5 млн рублей, в 2026 году – 31,4 млн рублей, в 2027 году – 39,3 млн рублей.</w:t>
      </w:r>
    </w:p>
    <w:p w14:paraId="44030000">
      <w:pPr>
        <w:tabs>
          <w:tab w:leader="none" w:pos="7265" w:val="left"/>
        </w:tabs>
        <w:ind w:firstLine="709" w:left="0"/>
        <w:jc w:val="both"/>
      </w:pPr>
      <w:r>
        <w:t xml:space="preserve">В составе расходов на социальную политику предусмотрены бюджетные ассигнования на проведение мероприятий </w:t>
      </w:r>
      <w:r>
        <w:t>по</w:t>
      </w:r>
      <w:r>
        <w:t>:</w:t>
      </w:r>
    </w:p>
    <w:p w14:paraId="45030000">
      <w:pPr>
        <w:ind w:firstLine="709" w:left="0"/>
        <w:jc w:val="both"/>
      </w:pPr>
      <w:r>
        <w:t xml:space="preserve">обеспечению инвалидов услугами по </w:t>
      </w:r>
      <w:r>
        <w:t>сурдопереводу</w:t>
      </w:r>
      <w:r>
        <w:t xml:space="preserve">, диспетчерской связи и техническими средствами реабилитации для инвалидов и других </w:t>
      </w:r>
      <w:r>
        <w:t>маломобильных</w:t>
      </w:r>
      <w:r>
        <w:t xml:space="preserve"> групп населения в 2025 году – 31,9 млн рублей и в 2026-2027 годах по 8,9 млн рублей ежегодно;</w:t>
      </w:r>
    </w:p>
    <w:p w14:paraId="46030000">
      <w:pPr>
        <w:ind w:firstLine="709" w:left="0"/>
        <w:jc w:val="both"/>
      </w:pPr>
      <w:r>
        <w:t xml:space="preserve">созданию условий доступности </w:t>
      </w:r>
      <w:r>
        <w:t>маломобильных</w:t>
      </w:r>
      <w:r>
        <w:t xml:space="preserve"> групп населения государственным учреждениям социального обслуживания в 2025 году в сумме 18,2 млн рублей и в 2026 году – 20,5 млн рублей, в том числе за счет средств федерального бюджета 15,5 млн рублей и 17,6 млн рублей, соответственно;</w:t>
      </w:r>
    </w:p>
    <w:p w14:paraId="47030000">
      <w:pPr>
        <w:ind w:firstLine="709" w:left="0"/>
        <w:jc w:val="both"/>
      </w:pPr>
      <w:r>
        <w:t>выплате ежемесячного денежного вознаграждения и доплат к нему лицам, изъявившим желание организовать приемную семью для граждан пожилого возраста и инвалидов, в 2025-2027 годах по 4,6 млн рублей ежегодно;</w:t>
      </w:r>
    </w:p>
    <w:p w14:paraId="48030000">
      <w:pPr>
        <w:tabs>
          <w:tab w:leader="none" w:pos="7265" w:val="left"/>
        </w:tabs>
        <w:ind w:firstLine="709" w:left="0"/>
        <w:jc w:val="both"/>
      </w:pPr>
      <w:r>
        <w:t>изготовлению бланков сертификатов на региональный материнский капитал в 2025-2027 годах по 0,3 млн рублей ежегодно;</w:t>
      </w:r>
    </w:p>
    <w:p w14:paraId="49030000">
      <w:pPr>
        <w:tabs>
          <w:tab w:leader="none" w:pos="7265" w:val="left"/>
        </w:tabs>
        <w:ind w:firstLine="709" w:left="0"/>
        <w:jc w:val="both"/>
      </w:pPr>
      <w:r>
        <w:t>перевозке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в 2025-2026 годах по 0,4 млн рублей ежегодно;</w:t>
      </w:r>
    </w:p>
    <w:p w14:paraId="4A030000">
      <w:pPr>
        <w:tabs>
          <w:tab w:leader="none" w:pos="7265" w:val="left"/>
        </w:tabs>
        <w:ind w:firstLine="709" w:left="0"/>
        <w:jc w:val="both"/>
      </w:pPr>
      <w:r>
        <w:t>празднованию годовщины Победы в Великой Отечественной войне              в 2025- 2027 годах по 0,3 млн рублей ежегодно.</w:t>
      </w:r>
    </w:p>
    <w:p w14:paraId="4B030000">
      <w:pPr>
        <w:ind w:firstLine="709" w:left="0"/>
        <w:jc w:val="both"/>
      </w:pPr>
      <w:r>
        <w:t xml:space="preserve">Бюджетные ассигнования на реализацию переданного полномочия Российской Федерации по осуществлению социальных выплат гражданам, признанным в установленном порядке безработными, предусмотрены в 2025 году в сумме 813,4 млн рублей, в 2026-2027 годах по 862,5 млн рублей ежегодно. </w:t>
      </w:r>
    </w:p>
    <w:p w14:paraId="4C030000">
      <w:pPr>
        <w:ind w:firstLine="709" w:left="0"/>
        <w:jc w:val="both"/>
        <w:rPr>
          <w:spacing w:val="-1"/>
        </w:rPr>
      </w:pPr>
      <w:r>
        <w:rPr>
          <w:spacing w:val="-1"/>
        </w:rPr>
        <w:t xml:space="preserve">Расходы по разделу также будут направлены </w:t>
      </w:r>
      <w:r>
        <w:rPr>
          <w:spacing w:val="-1"/>
        </w:rPr>
        <w:t>на</w:t>
      </w:r>
      <w:r>
        <w:rPr>
          <w:spacing w:val="-1"/>
        </w:rPr>
        <w:t>:</w:t>
      </w:r>
    </w:p>
    <w:p w14:paraId="4D030000">
      <w:pPr>
        <w:widowControl w:val="0"/>
        <w:ind w:firstLine="709" w:left="0"/>
        <w:jc w:val="both"/>
      </w:pPr>
      <w:r>
        <w:t>финансовое обеспечение деятельности министерства труда и социального развития Ростовской области в 2025  году в сумме 314,3  млн рублей, 2026 году – 326,3 млн рублей, в 2027 году – 338,6 млн рублей;</w:t>
      </w:r>
    </w:p>
    <w:p w14:paraId="4E030000">
      <w:pPr>
        <w:ind w:firstLine="709" w:left="0"/>
        <w:jc w:val="both"/>
        <w:rPr>
          <w:spacing w:val="-1"/>
        </w:rPr>
      </w:pPr>
      <w:r>
        <w:t>финансовое обеспечение выполнения государственным бюджетным учреждением Ростовской области «Агентство жилищных программ» государственного задания в 2025 году в сумме 59,2 млн рублей, в 2026 году – 61,4 млн рублей, в 2027 году – 63,8 млн рублей;</w:t>
      </w:r>
    </w:p>
    <w:p w14:paraId="4F030000">
      <w:pPr>
        <w:widowControl w:val="0"/>
        <w:ind w:firstLine="709" w:left="0"/>
        <w:jc w:val="both"/>
        <w:rPr>
          <w:color w:val="FF0000"/>
        </w:rPr>
      </w:pPr>
      <w:r>
        <w:t xml:space="preserve">предоставление субвенций муниципальным образованиям Ростовской области по организации исполнительно-распорядительных функций в сфере социальной защиты населения (1 847  штатных единиц) в 2025 году в сумме </w:t>
      </w:r>
      <w:r>
        <w:br/>
      </w:r>
      <w:r>
        <w:t>1 881,5 млн рублей, в 2026 году – 1 949,5  млн рублей, в 2027 году – 2 023,2 млн рублей. В составе данной субвенции предусмотрены расходы по участию многофункциональных центров предоставления государственных и муниципальных услуг в осуществлении переданных полномочий (410 штатных единиц) в 2025 году в сумме 286,4 млн рублей, в 2026 году – 297,7 млн рублей, в 2027 году – 309,5 млн рублей;</w:t>
      </w:r>
    </w:p>
    <w:p w14:paraId="50030000">
      <w:pPr>
        <w:widowControl w:val="0"/>
        <w:ind w:firstLine="709" w:left="0"/>
        <w:jc w:val="both"/>
      </w:pPr>
    </w:p>
    <w:p w14:paraId="51030000">
      <w:pPr>
        <w:widowControl w:val="0"/>
        <w:ind w:firstLine="709" w:left="0"/>
        <w:jc w:val="both"/>
      </w:pPr>
      <w:r>
        <w:t xml:space="preserve">выплату государственной пенсии за выслугу лет, ежемесячной доплаты к пенсии отдельным категориям граждан, ежемесячной доплаты к пенсии лицам, пострадавшим во время событий в </w:t>
      </w:r>
      <w:r>
        <w:t>г</w:t>
      </w:r>
      <w:r>
        <w:t>. Новочеркасске в июне 1962 года в 2025 году в сумме 364,6  млн рублей, в 2026 году – 357,9 млн рублей, в 2027 году – 361,5 млн рублей;</w:t>
      </w:r>
    </w:p>
    <w:p w14:paraId="52030000">
      <w:pPr>
        <w:widowControl w:val="0"/>
        <w:ind w:firstLine="709" w:left="0"/>
        <w:jc w:val="both"/>
      </w:pPr>
      <w:r>
        <w:t>развитие и сопровождение цифровой инфраструктуры, защиту информации, внедрение цифровых технологий в сферах государственного управления и оказания государственных услуг, в том числе в интересах населения в 2025-2027 годах – 9,9 млн рублей ежегодно;</w:t>
      </w:r>
    </w:p>
    <w:p w14:paraId="53030000">
      <w:pPr>
        <w:ind w:firstLine="709" w:left="0"/>
        <w:jc w:val="both"/>
      </w:pPr>
      <w:r>
        <w:t>обеспечение жильем молодых семей в 2025 году в сумме 124,2 млн рублей, в 2026 году – 125,3 млн рублей, в 2027 год – 94,5 млн рублей, в том числе за счет средств федерального бюджета в 2025 году – 29,7 млн рублей, в 2026 году – 30,8 млн рублей;</w:t>
      </w:r>
    </w:p>
    <w:p w14:paraId="54030000">
      <w:pPr>
        <w:ind w:firstLine="709" w:left="0"/>
        <w:jc w:val="both"/>
      </w:pPr>
      <w:r>
        <w:t>осуществление полномочий по обеспечению жильем ветеранов Великой Отечественной войны 1941-1945 годов, ветеранов боевых действий, инвалидов и семей, имеющих детей-инвалидов, за счет субвенций из федерального бюджета на 2025 год в сумме 13,8 млн рублей, в 2026 году – 14,3 млн рублей;</w:t>
      </w:r>
    </w:p>
    <w:p w14:paraId="55030000">
      <w:pPr>
        <w:ind w:firstLine="709" w:left="0"/>
        <w:jc w:val="both"/>
      </w:pPr>
      <w:r>
        <w:t xml:space="preserve">обеспечение жилыми помещениями детей-сирот в 2025 году в сумме </w:t>
      </w:r>
      <w:r>
        <w:br/>
      </w:r>
      <w:r>
        <w:t>2 482,6 млн рублей, в 2026 году – 1 851,2 млн рублей, в 2027 году – 1 440,7 млн рублей, в том числе за счет средств федерального бюджета в 2025 году в сумме 43,3  млн рублей, в 2026 году – 45,1 млн рублей;</w:t>
      </w:r>
    </w:p>
    <w:p w14:paraId="56030000">
      <w:pPr>
        <w:widowControl w:val="0"/>
        <w:ind w:firstLine="709" w:left="0"/>
        <w:jc w:val="both"/>
      </w:pPr>
      <w:r>
        <w:t xml:space="preserve">обеспечение комплексного развития сельских территорий в части улучшения жилищных условий граждан Российской Федерации, проживающих на сельских территориях в 2025 году в сумме 1 228,6 млн рублей, в 2026 году –  380,0 млн рублей, в 2027 году – 27,7 млн рублей, в том числе за счет средств федерального бюджета в 2025 году – 1 215,5 млн рублей, в 2026 году – </w:t>
      </w:r>
      <w:r>
        <w:br/>
      </w:r>
      <w:r>
        <w:t>352,3 млн рублей;</w:t>
      </w:r>
    </w:p>
    <w:p w14:paraId="57030000">
      <w:pPr>
        <w:widowControl w:val="0"/>
        <w:ind w:firstLine="709" w:left="0"/>
        <w:jc w:val="both"/>
      </w:pPr>
      <w:r>
        <w:t>реализацию программ местного развития и обеспечение занятости для шахтерских городов и поселков в 2025 году в сумме 767,5 млн рублей, в том числе за счет средств федерального бюджета в сумме 759,8 млн рублей.</w:t>
      </w:r>
    </w:p>
    <w:p w14:paraId="58030000">
      <w:pPr>
        <w:ind w:firstLine="709" w:left="0"/>
        <w:jc w:val="both"/>
      </w:pPr>
      <w:r>
        <w:t xml:space="preserve">В данном законопроекте сохранены принятые ранее обязательства, предусматривающие государственную поддержку граждан, нуждающихся </w:t>
      </w:r>
      <w:r>
        <w:br/>
      </w:r>
      <w:r>
        <w:t xml:space="preserve">в улучшении жилищных условий, и направленные на формирование специальных условий ипотечного кредитования отдельных категорий граждан. На реализацию указанных мероприятий запланированы расходы в 2025-2027 годах по </w:t>
      </w:r>
      <w:r>
        <w:br/>
      </w:r>
      <w:r>
        <w:t>1 853,4 млн рублей ежегодно.</w:t>
      </w:r>
    </w:p>
    <w:p w14:paraId="59030000">
      <w:pPr>
        <w:ind w:firstLine="709" w:left="0"/>
        <w:jc w:val="both"/>
      </w:pPr>
      <w:r>
        <w:t xml:space="preserve">В 2025 году предусмотрены расходы на завершение проектных работ по реконструкции системы теплоснабжения ГБУСОН РО «Социально-реабилитационный центр </w:t>
      </w:r>
      <w:r>
        <w:t>Заветинского</w:t>
      </w:r>
      <w:r>
        <w:t xml:space="preserve"> района» в объеме 3,1 млн рублей.</w:t>
      </w:r>
    </w:p>
    <w:p w14:paraId="5A030000">
      <w:pPr>
        <w:ind w:firstLine="709" w:left="0"/>
        <w:jc w:val="both"/>
        <w:rPr>
          <w:color w:themeColor="text1" w:val="000000"/>
        </w:rPr>
      </w:pPr>
    </w:p>
    <w:p w14:paraId="5B030000">
      <w:pPr>
        <w:ind/>
        <w:jc w:val="center"/>
        <w:outlineLvl w:val="2"/>
        <w:rPr>
          <w:b w:val="1"/>
        </w:rPr>
      </w:pPr>
      <w:r>
        <w:rPr>
          <w:b w:val="1"/>
        </w:rPr>
        <w:t>РАЗДЕЛ</w:t>
      </w:r>
    </w:p>
    <w:p w14:paraId="5C030000">
      <w:pPr>
        <w:ind/>
        <w:jc w:val="center"/>
        <w:outlineLvl w:val="2"/>
        <w:rPr>
          <w:b w:val="1"/>
        </w:rPr>
      </w:pPr>
      <w:r>
        <w:rPr>
          <w:b w:val="1"/>
        </w:rPr>
        <w:t>«ФИЗИЧЕСКАЯ КУЛЬТУРА И СПОРТ»</w:t>
      </w:r>
    </w:p>
    <w:p w14:paraId="5D030000">
      <w:pPr>
        <w:ind w:firstLine="709" w:left="0"/>
        <w:jc w:val="both"/>
        <w:outlineLvl w:val="0"/>
      </w:pPr>
    </w:p>
    <w:p w14:paraId="5E030000">
      <w:pPr>
        <w:ind w:firstLine="709" w:left="0"/>
        <w:jc w:val="both"/>
        <w:outlineLvl w:val="0"/>
      </w:pPr>
      <w:r>
        <w:t>В проекте областного бюджета по разделу «Физическая культура и спорт» предусмотрены бюджетные ассигнования в 2025 году – 8 932,7 млн рублей, в 2026 году – 7 731,0 млн рублей и в 2027 году – 7 371,0 млн рублей.</w:t>
      </w:r>
    </w:p>
    <w:p w14:paraId="5F030000">
      <w:pPr>
        <w:ind w:firstLine="709" w:left="0"/>
        <w:jc w:val="both"/>
        <w:outlineLvl w:val="0"/>
      </w:pPr>
      <w:r>
        <w:t>Ростовской областью обеспечивается выполнение полномочий по подготовке спортивного резерва для спортивных сборных команд, участие в подготовке программ развития видов спорта в части включения в них мероприятий по развитию детско-юношеского спорта, школьного спорта, массового спорта, спорта инвалидов и лиц с ограниченными возможностями здоровья.</w:t>
      </w:r>
    </w:p>
    <w:p w14:paraId="60030000">
      <w:pPr>
        <w:ind w:firstLine="709" w:left="0"/>
        <w:jc w:val="both"/>
        <w:outlineLvl w:val="0"/>
      </w:pPr>
      <w:r>
        <w:t xml:space="preserve">Подготовка спортсменов в Ростовской области, организация и проведение спортивных мероприятий, пропаганда здорового образа жизни, обеспечение доступа к объектам спорта осуществляется 20 учреждениями спортивной направленности, объем бюджетных </w:t>
      </w:r>
      <w:r>
        <w:t>ассигнований</w:t>
      </w:r>
      <w:r>
        <w:t xml:space="preserve"> на выполнение государственного задания которых в 2025 году составит 3 305,3 млн рублей, в 2026 году – 3 744,9 млн рублей, в 2027 году – 4 177,0 млн рублей.</w:t>
      </w:r>
    </w:p>
    <w:p w14:paraId="61030000">
      <w:pPr>
        <w:ind w:firstLine="709" w:left="0"/>
        <w:jc w:val="both"/>
        <w:outlineLvl w:val="0"/>
      </w:pPr>
      <w:r>
        <w:t xml:space="preserve">В составе расходов бюджета также учтены средства на финансовое обеспечение деятельности государственного областного автономного учреждения «Ростов Арена» </w:t>
      </w:r>
      <w:r>
        <w:t xml:space="preserve">в 2025 году </w:t>
      </w:r>
      <w:r>
        <w:t xml:space="preserve">в объеме 444,7 млн рублей, </w:t>
      </w:r>
      <w:r>
        <w:t xml:space="preserve">в 2026 году – </w:t>
      </w:r>
      <w:r>
        <w:t xml:space="preserve">451,3 млн рублей и </w:t>
      </w:r>
      <w:r>
        <w:t xml:space="preserve">в 2027 году – </w:t>
      </w:r>
      <w:r>
        <w:t>457,1 млн рублей.</w:t>
      </w:r>
    </w:p>
    <w:p w14:paraId="62030000">
      <w:pPr>
        <w:ind w:firstLine="709" w:left="0"/>
        <w:jc w:val="both"/>
        <w:outlineLvl w:val="0"/>
      </w:pPr>
      <w:r>
        <w:t>Продолжается работа по выполнению Ростовской областью требований федеральных стандартов спортивной подготовки по видам спорта, прирост расходов составит по 409,5 млн рублей ежегодно. Средства направляются на обеспечение участия спортсменов в различных спортивных (тренировочных) мероприятиях, усовершенствование материально-тренировочной базы государственных учреждений, стимулирование тренерского состава.</w:t>
      </w:r>
    </w:p>
    <w:p w14:paraId="63030000">
      <w:pPr>
        <w:ind w:firstLine="709" w:left="0"/>
        <w:jc w:val="both"/>
        <w:outlineLvl w:val="0"/>
      </w:pPr>
      <w:r>
        <w:t>В рамках федерального проекта «Бизнес-спринт (Я выбираю спорт)» планируется осуществить закупку оборудования для создания 5 «умных» спортивных площадок в 2025 году на сумму 105,9 млн рублей, в 2026 году на сумму 41,9 млн рублей.</w:t>
      </w:r>
    </w:p>
    <w:p w14:paraId="64030000">
      <w:pPr>
        <w:ind w:firstLine="709" w:left="0"/>
        <w:jc w:val="both"/>
        <w:outlineLvl w:val="0"/>
      </w:pPr>
      <w:r>
        <w:t>Кроме того, в целях развития материальной базы муниципальных организаций спортивной направленности в областном бюджете учтены расходы на приобретение спортивного оборудования в ежегодном размере 3,6 млн рублей.</w:t>
      </w:r>
    </w:p>
    <w:p w14:paraId="65030000">
      <w:pPr>
        <w:ind w:firstLine="709" w:left="0"/>
        <w:jc w:val="both"/>
        <w:outlineLvl w:val="0"/>
      </w:pPr>
      <w:r>
        <w:t>Развитие спорта высших достижений и профессионального спорта осуществляется путем реализации следующих мероприятий и направлений:</w:t>
      </w:r>
    </w:p>
    <w:p w14:paraId="66030000">
      <w:pPr>
        <w:ind w:firstLine="709" w:left="0"/>
        <w:jc w:val="both"/>
        <w:outlineLvl w:val="0"/>
      </w:pPr>
      <w:r>
        <w:t xml:space="preserve">выплата стипендий спортсменам Ростовской области – кандидатам в спортивные сборные команды России (145 человек) и премий спортсменам Ростовской области – членам сборных команд России по олимпийским, </w:t>
      </w:r>
      <w:r>
        <w:t>паралимпийским</w:t>
      </w:r>
      <w:r>
        <w:t xml:space="preserve"> и </w:t>
      </w:r>
      <w:r>
        <w:t>сурдлимпийским</w:t>
      </w:r>
      <w:r>
        <w:t xml:space="preserve"> видам спорта и их тренерам – в ежегодном объеме 58,6 млн рублей;</w:t>
      </w:r>
    </w:p>
    <w:p w14:paraId="67030000">
      <w:pPr>
        <w:ind w:firstLine="709" w:left="0"/>
        <w:jc w:val="both"/>
        <w:outlineLvl w:val="0"/>
      </w:pPr>
      <w:r>
        <w:t>предоставление на конкурсной основе грантов в форме субсидий клубам по игровым видам спорта – по 1 279,5 млн рублей ежегодно.</w:t>
      </w:r>
    </w:p>
    <w:p w14:paraId="68030000">
      <w:pPr>
        <w:ind w:firstLine="709" w:left="0"/>
        <w:jc w:val="both"/>
        <w:outlineLvl w:val="0"/>
      </w:pPr>
      <w:r>
        <w:t>Средства в объеме 1 294,6 млн рублей учтены на благоустройство территории и завершение капитального ремонта здания Дворца спорта в </w:t>
      </w:r>
      <w:r>
        <w:t>г</w:t>
      </w:r>
      <w:r>
        <w:t>. Ростове-на-Дону в 2025 году.</w:t>
      </w:r>
    </w:p>
    <w:p w14:paraId="69030000">
      <w:pPr>
        <w:ind w:firstLine="709" w:left="0"/>
        <w:jc w:val="both"/>
        <w:outlineLvl w:val="0"/>
      </w:pPr>
      <w:r>
        <w:t>На проведение в 2025-2026 годах работ по капитальному ремонту областных объектов спорта и их технологическое присоединения планируется направить 845,6 млн рублей, на капитальный ремонт муниципальных объектов спорта –  150,7 млн рублей.</w:t>
      </w:r>
    </w:p>
    <w:p w14:paraId="6A030000">
      <w:pPr>
        <w:ind w:firstLine="709" w:left="0"/>
        <w:jc w:val="both"/>
        <w:outlineLvl w:val="0"/>
      </w:pPr>
    </w:p>
    <w:p w14:paraId="6B030000">
      <w:pPr>
        <w:ind w:firstLine="709" w:left="0"/>
        <w:jc w:val="both"/>
        <w:outlineLvl w:val="0"/>
      </w:pPr>
      <w:r>
        <w:t xml:space="preserve">Расходы по разделу будут также направлены </w:t>
      </w:r>
      <w:r>
        <w:t>на</w:t>
      </w:r>
      <w:r>
        <w:t>:</w:t>
      </w:r>
    </w:p>
    <w:p w14:paraId="6C030000">
      <w:pPr>
        <w:spacing w:line="228" w:lineRule="auto"/>
        <w:ind w:firstLine="709" w:left="0"/>
        <w:jc w:val="both"/>
      </w:pPr>
      <w:r>
        <w:rPr>
          <w:spacing w:val="-1"/>
        </w:rPr>
        <w:t>ф</w:t>
      </w:r>
      <w:r>
        <w:t>инансовое обеспечение деятельности министерства по физической культуре и спорту Ростовской области в 2025 году в сумме 106,8 млн рублей, в 2026 году – 110,8 млн рублей, в 2027 году – 115,1 млн рублей;</w:t>
      </w:r>
    </w:p>
    <w:p w14:paraId="6D030000">
      <w:pPr>
        <w:spacing w:line="228" w:lineRule="auto"/>
        <w:ind w:firstLine="709" w:left="0"/>
        <w:jc w:val="both"/>
      </w:pPr>
      <w:r>
        <w:t xml:space="preserve">развитие и сопровождение цифровой </w:t>
      </w:r>
      <w:r>
        <w:t>инфраструктуры</w:t>
      </w:r>
      <w:r>
        <w:t xml:space="preserve"> и защиту информации в 2025-2027 годах в сумме 1,4 млн рублей ежегодно;</w:t>
      </w:r>
    </w:p>
    <w:p w14:paraId="6E030000">
      <w:pPr>
        <w:ind w:firstLine="709" w:left="0"/>
        <w:jc w:val="both"/>
        <w:outlineLvl w:val="0"/>
      </w:pPr>
      <w:r>
        <w:t>проведение областной Спартакиады среди воспитанников детско-подростковых и физкультурно-спортивных клубов по месту жительства по 0,7 млн рублей ежегодно;</w:t>
      </w:r>
    </w:p>
    <w:p w14:paraId="6F030000">
      <w:pPr>
        <w:ind w:firstLine="709" w:left="0"/>
        <w:jc w:val="both"/>
        <w:outlineLvl w:val="0"/>
      </w:pPr>
      <w:r>
        <w:t>приобретение энергосберегающего оборудования и материалов по 0,5 млн рублей ежегодно.</w:t>
      </w:r>
    </w:p>
    <w:p w14:paraId="70030000">
      <w:pPr>
        <w:ind w:firstLine="709" w:left="0"/>
        <w:jc w:val="both"/>
      </w:pPr>
      <w:r>
        <w:t xml:space="preserve">Кроме того, предусмотрены бюджетные ассигнования на строительство Дворца спорта на стадионе «Труд» в </w:t>
      </w:r>
      <w:r>
        <w:t>г</w:t>
      </w:r>
      <w:r>
        <w:t>. Ростове-на-Дону в общей сумме 3 078,6 млн рублей, в том числе в 2025 году – 985,2 млн рублей, в 2026 году – 1 293,0 млн рублей, в 2027 году – 800,4 млн рублей.</w:t>
      </w:r>
    </w:p>
    <w:p w14:paraId="71030000">
      <w:pPr>
        <w:ind/>
        <w:jc w:val="center"/>
        <w:outlineLvl w:val="0"/>
        <w:rPr>
          <w:b w:val="1"/>
        </w:rPr>
      </w:pPr>
    </w:p>
    <w:p w14:paraId="72030000">
      <w:pPr>
        <w:ind/>
        <w:jc w:val="center"/>
        <w:outlineLvl w:val="0"/>
      </w:pPr>
      <w:r>
        <w:rPr>
          <w:b w:val="1"/>
        </w:rPr>
        <w:t>РАЗДЕЛ</w:t>
      </w:r>
    </w:p>
    <w:p w14:paraId="73030000">
      <w:pPr>
        <w:ind/>
        <w:jc w:val="center"/>
        <w:rPr>
          <w:b w:val="1"/>
        </w:rPr>
      </w:pPr>
      <w:r>
        <w:rPr>
          <w:b w:val="1"/>
        </w:rPr>
        <w:t>«СРЕДСТВА МАССОВОЙ ИНФОРМАЦИИ»</w:t>
      </w:r>
    </w:p>
    <w:p w14:paraId="74030000">
      <w:pPr>
        <w:ind w:firstLine="709" w:left="0"/>
        <w:jc w:val="center"/>
        <w:rPr>
          <w:b w:val="1"/>
        </w:rPr>
      </w:pPr>
    </w:p>
    <w:p w14:paraId="75030000">
      <w:pPr>
        <w:ind w:firstLine="709" w:left="0"/>
        <w:jc w:val="both"/>
        <w:outlineLvl w:val="0"/>
      </w:pPr>
      <w:r>
        <w:t>В проекте областного бюджета по разделу «Средства массовой информации» на 2025 год предусмотрены бюджетные ассигнования в сумме 468,0 млн рублей, на 2026 год – 467,5 млн рублей и на 2027 год – 468,0 млн рублей.</w:t>
      </w:r>
    </w:p>
    <w:p w14:paraId="76030000">
      <w:pPr>
        <w:ind w:firstLine="709" w:left="0"/>
        <w:jc w:val="both"/>
        <w:outlineLvl w:val="0"/>
      </w:pPr>
      <w:r>
        <w:t xml:space="preserve">По данному разделу предусмотрены бюджетные ассигнования </w:t>
      </w:r>
      <w:r>
        <w:t>на</w:t>
      </w:r>
      <w:r>
        <w:t>:</w:t>
      </w:r>
    </w:p>
    <w:p w14:paraId="77030000">
      <w:pPr>
        <w:ind w:firstLine="709" w:left="0"/>
        <w:jc w:val="both"/>
        <w:rPr>
          <w:color w:themeColor="text1" w:val="000000"/>
          <w:spacing w:val="-1"/>
        </w:rPr>
      </w:pPr>
      <w:r>
        <w:rPr>
          <w:color w:themeColor="text1" w:val="000000"/>
        </w:rPr>
        <w:t>освещение деятельности политических партий в 2025-2027 годах в сумме 123,1 млн рублей ежегодно;</w:t>
      </w:r>
    </w:p>
    <w:p w14:paraId="78030000">
      <w:pPr>
        <w:ind w:firstLine="709" w:left="0"/>
        <w:jc w:val="both"/>
        <w:rPr>
          <w:color w:themeColor="text1" w:val="000000"/>
        </w:rPr>
      </w:pPr>
      <w:r>
        <w:rPr>
          <w:color w:themeColor="text1" w:val="000000"/>
          <w:spacing w:val="-1"/>
        </w:rPr>
        <w:t xml:space="preserve">официальную публикацию нормативно-правовых актов Ростовской области, проектов правовых актов Ростовской области и иных информационных материалов </w:t>
      </w:r>
      <w:r>
        <w:rPr>
          <w:color w:themeColor="text1" w:val="000000"/>
        </w:rPr>
        <w:t>в 2025-2027 годах в сумме 4,8 млн рублей ежегодно;</w:t>
      </w:r>
    </w:p>
    <w:p w14:paraId="79030000">
      <w:pPr>
        <w:ind w:firstLine="709" w:left="0"/>
        <w:jc w:val="both"/>
        <w:rPr>
          <w:color w:themeColor="text1" w:val="000000"/>
          <w:spacing w:val="-1"/>
        </w:rPr>
      </w:pPr>
      <w:r>
        <w:rPr>
          <w:color w:themeColor="text1" w:val="000000"/>
        </w:rPr>
        <w:t>информационное освещение деятельности органов государственной власти Ростовской области в 2025-2027 годах в сумме 153,5 млн рублей ежегодно;</w:t>
      </w:r>
    </w:p>
    <w:p w14:paraId="7A030000">
      <w:pPr>
        <w:widowControl w:val="0"/>
        <w:ind w:firstLine="709" w:left="0"/>
        <w:jc w:val="both"/>
        <w:rPr>
          <w:color w:themeColor="text1" w:val="000000"/>
        </w:rPr>
      </w:pPr>
      <w:r>
        <w:rPr>
          <w:color w:themeColor="text1" w:val="000000"/>
        </w:rPr>
        <w:t xml:space="preserve">выплату премии победителям конкурса журналистских материалов по противодействию коррупции, конкурса журналистских работ на лучший журналистский материал, посвященный противодействию терроризма и экстремистской идеологии, конкурса журналистских работ на лучшую информационную компанию, посвященную формированию </w:t>
      </w:r>
      <w:r>
        <w:rPr>
          <w:color w:themeColor="text1" w:val="000000"/>
        </w:rPr>
        <w:t>антинаркотического</w:t>
      </w:r>
      <w:r>
        <w:rPr>
          <w:color w:themeColor="text1" w:val="000000"/>
        </w:rPr>
        <w:t xml:space="preserve"> мировоззрения, конкурса журналистских работ на премию Губернатора Ростовской области в</w:t>
      </w:r>
      <w:r>
        <w:t xml:space="preserve"> 2025 году в сумме 3,9 млн рублей, в 2026 году – 3,4 млн рублей, в 2027 году – 3,9 млн</w:t>
      </w:r>
      <w:r>
        <w:t xml:space="preserve"> рублей</w:t>
      </w:r>
      <w:r>
        <w:rPr>
          <w:color w:themeColor="text1" w:val="000000"/>
        </w:rPr>
        <w:t>;</w:t>
      </w:r>
    </w:p>
    <w:p w14:paraId="7B030000">
      <w:pPr>
        <w:widowControl w:val="0"/>
        <w:spacing w:line="228" w:lineRule="auto"/>
        <w:ind w:firstLine="709" w:left="0"/>
        <w:jc w:val="both"/>
        <w:rPr>
          <w:color w:themeColor="text1" w:val="000000"/>
        </w:rPr>
      </w:pPr>
      <w:r>
        <w:rPr>
          <w:color w:themeColor="text1" w:val="000000"/>
        </w:rPr>
        <w:t>предоставление субсидий:</w:t>
      </w:r>
    </w:p>
    <w:p w14:paraId="7C030000">
      <w:pPr>
        <w:widowControl w:val="0"/>
        <w:spacing w:line="228" w:lineRule="auto"/>
        <w:ind w:firstLine="709" w:left="0"/>
        <w:jc w:val="both"/>
        <w:rPr>
          <w:color w:themeColor="text1" w:val="000000"/>
        </w:rPr>
      </w:pPr>
      <w:r>
        <w:rPr>
          <w:color w:themeColor="text1" w:val="000000"/>
        </w:rPr>
        <w:t>– телекомпаниям на финансовое обеспечение затрат по организации трансляций матчей Футбольного клуба «Ростов» на телеканалах в</w:t>
      </w:r>
      <w:r>
        <w:rPr>
          <w:color w:themeColor="text1" w:val="000000"/>
        </w:rPr>
        <w:t> </w:t>
      </w:r>
      <w:r>
        <w:rPr>
          <w:color w:themeColor="text1" w:val="000000"/>
        </w:rPr>
        <w:t>2025-2027 годах в сумме 6,7 млн рублей ежегодно;</w:t>
      </w:r>
    </w:p>
    <w:p w14:paraId="7D030000">
      <w:pPr>
        <w:spacing w:line="228" w:lineRule="auto"/>
        <w:ind w:firstLine="709" w:left="0"/>
        <w:jc w:val="both"/>
      </w:pPr>
      <w:r>
        <w:rPr>
          <w:spacing w:val="-1"/>
        </w:rPr>
        <w:t xml:space="preserve">– организациям, осуществляющим производство, выпуск и распространение средств массовой информации, включенных в областной реестр средств массовой информации на финансовое обеспечение части затрат на производство, выпуск и распространение периодических печатных изданий – газет </w:t>
      </w:r>
      <w:r>
        <w:rPr>
          <w:spacing w:val="-6"/>
        </w:rPr>
        <w:t>в 2025-2027 годах по 85,1 </w:t>
      </w:r>
      <w:r>
        <w:rPr>
          <w:spacing w:val="-1"/>
        </w:rPr>
        <w:t>млн рублей</w:t>
      </w:r>
      <w:r>
        <w:t xml:space="preserve"> ежегодно;</w:t>
      </w:r>
    </w:p>
    <w:p w14:paraId="7E030000">
      <w:pPr>
        <w:spacing w:line="228" w:lineRule="auto"/>
        <w:ind w:firstLine="709" w:left="0"/>
        <w:jc w:val="both"/>
      </w:pPr>
      <w:r>
        <w:rPr>
          <w:spacing w:val="-1"/>
        </w:rPr>
        <w:t>– телерадиокомпаниям на финансовое обеспечение затрат по распространению социально значимых программ с использованием электронных средств массовой информации в 2025-2027 годах</w:t>
      </w:r>
      <w:r>
        <w:rPr>
          <w:spacing w:val="-6"/>
        </w:rPr>
        <w:t xml:space="preserve"> в объеме 58,2 млн рублей ежегодно</w:t>
      </w:r>
      <w:r>
        <w:t>;</w:t>
      </w:r>
    </w:p>
    <w:p w14:paraId="7F030000">
      <w:pPr>
        <w:spacing w:line="228" w:lineRule="auto"/>
        <w:ind w:firstLine="709" w:left="0"/>
        <w:jc w:val="both"/>
      </w:pPr>
      <w:r>
        <w:rPr>
          <w:spacing w:val="-1"/>
        </w:rPr>
        <w:t>– организациям</w:t>
      </w:r>
      <w:r>
        <w:t>, осуществляющим производство и выпуск средств массовой информации, независимо от их организационно-правовой формы и формы собственности – гранты на возмещение затрат, связанных с реализацией социально значимых проектов в средствах массовой информации,</w:t>
      </w:r>
      <w:r>
        <w:rPr>
          <w:spacing w:val="-1"/>
        </w:rPr>
        <w:t xml:space="preserve"> в 2025-2027 годах</w:t>
      </w:r>
      <w:r>
        <w:t xml:space="preserve"> </w:t>
      </w:r>
      <w:r>
        <w:rPr>
          <w:spacing w:val="-6"/>
        </w:rPr>
        <w:t>в объеме 6,8 млн рублей ежегодно</w:t>
      </w:r>
      <w:r>
        <w:t>.</w:t>
      </w:r>
    </w:p>
    <w:p w14:paraId="80030000">
      <w:pPr>
        <w:spacing w:line="228" w:lineRule="auto"/>
        <w:ind/>
        <w:outlineLvl w:val="2"/>
        <w:rPr>
          <w:b w:val="1"/>
        </w:rPr>
      </w:pPr>
    </w:p>
    <w:p w14:paraId="81030000">
      <w:pPr>
        <w:spacing w:line="228" w:lineRule="auto"/>
        <w:ind/>
        <w:jc w:val="center"/>
        <w:outlineLvl w:val="2"/>
        <w:rPr>
          <w:b w:val="1"/>
        </w:rPr>
      </w:pPr>
      <w:r>
        <w:rPr>
          <w:b w:val="1"/>
        </w:rPr>
        <w:t>РАЗДЕЛ</w:t>
      </w:r>
    </w:p>
    <w:p w14:paraId="82030000">
      <w:pPr>
        <w:spacing w:line="228" w:lineRule="auto"/>
        <w:ind/>
        <w:jc w:val="center"/>
        <w:outlineLvl w:val="2"/>
        <w:rPr>
          <w:b w:val="1"/>
        </w:rPr>
      </w:pPr>
      <w:r>
        <w:rPr>
          <w:b w:val="1"/>
        </w:rPr>
        <w:t xml:space="preserve"> «ОБСЛУЖИВАНИЕ </w:t>
      </w:r>
      <w:r>
        <w:rPr>
          <w:b w:val="1"/>
        </w:rPr>
        <w:t>ГОСУДАРСТВЕННОГО</w:t>
      </w:r>
    </w:p>
    <w:p w14:paraId="83030000">
      <w:pPr>
        <w:spacing w:line="228" w:lineRule="auto"/>
        <w:ind/>
        <w:jc w:val="center"/>
        <w:rPr>
          <w:b w:val="1"/>
        </w:rPr>
      </w:pPr>
      <w:r>
        <w:rPr>
          <w:b w:val="1"/>
        </w:rPr>
        <w:t>(МУНИЦИПАЛЬНОГО) ДОЛГА»</w:t>
      </w:r>
    </w:p>
    <w:p w14:paraId="84030000">
      <w:pPr>
        <w:spacing w:line="228" w:lineRule="auto"/>
        <w:ind/>
        <w:jc w:val="center"/>
      </w:pPr>
    </w:p>
    <w:p w14:paraId="85030000">
      <w:pPr>
        <w:spacing w:line="228" w:lineRule="auto"/>
        <w:ind w:firstLine="709" w:left="0"/>
        <w:jc w:val="both"/>
        <w:outlineLvl w:val="0"/>
      </w:pPr>
      <w:r>
        <w:t>В проекте областного бюджета по разделу «Обслуживание государственного (муниципального) долга» на 2025 год предусмотрены бюджетные ассигнования в сумме 1 572,5 млн рублей, на 2026 год – 873,1 млн рублей и на 2027 год – 805,5 млн рублей.</w:t>
      </w:r>
    </w:p>
    <w:p w14:paraId="86030000">
      <w:pPr>
        <w:spacing w:line="228" w:lineRule="auto"/>
        <w:ind w:firstLine="708" w:left="0"/>
        <w:jc w:val="both"/>
        <w:outlineLvl w:val="0"/>
      </w:pPr>
      <w:r>
        <w:t xml:space="preserve">Расходные обязательства Ростовской области на обслуживание государственного долга определяются на основании заключенных государственных контрактов (кредитных договоров) и соглашений, а также прогнозируемого уровня заимствований в 2025 году. </w:t>
      </w:r>
    </w:p>
    <w:p w14:paraId="87030000">
      <w:pPr>
        <w:spacing w:line="228" w:lineRule="auto"/>
        <w:ind w:firstLine="709" w:left="0"/>
        <w:jc w:val="both"/>
        <w:outlineLvl w:val="0"/>
      </w:pPr>
      <w:r>
        <w:t>Данные бюджетные ассигнования будут направлены на обслуживание банковских кредитов и бюджетных кредитов, полученных из федерального бюджета.</w:t>
      </w:r>
    </w:p>
    <w:p w14:paraId="88030000">
      <w:pPr>
        <w:spacing w:line="228" w:lineRule="auto"/>
        <w:ind w:firstLine="709" w:left="0"/>
        <w:jc w:val="both"/>
        <w:rPr>
          <w:highlight w:val="yellow"/>
        </w:rPr>
      </w:pPr>
    </w:p>
    <w:p w14:paraId="89030000">
      <w:pPr>
        <w:ind/>
        <w:jc w:val="center"/>
        <w:outlineLvl w:val="0"/>
        <w:rPr>
          <w:b w:val="1"/>
        </w:rPr>
      </w:pPr>
      <w:r>
        <w:rPr>
          <w:b w:val="1"/>
        </w:rPr>
        <w:t>РАЗДЕЛ</w:t>
      </w:r>
    </w:p>
    <w:p w14:paraId="8A030000">
      <w:pPr>
        <w:ind/>
        <w:jc w:val="center"/>
        <w:outlineLvl w:val="0"/>
        <w:rPr>
          <w:b w:val="1"/>
        </w:rPr>
      </w:pPr>
      <w:r>
        <w:rPr>
          <w:b w:val="1"/>
        </w:rPr>
        <w:t xml:space="preserve">«МЕЖБЮДЖЕТНЫЕ ТРАНСФЕРТЫ ОБЩЕГО ХАРАКТЕРА БЮДЖЕТАМ БЮДЖЕТНОЙ СИСТЕМЫ </w:t>
      </w:r>
    </w:p>
    <w:p w14:paraId="8B030000">
      <w:pPr>
        <w:ind/>
        <w:jc w:val="center"/>
        <w:outlineLvl w:val="0"/>
        <w:rPr>
          <w:b w:val="1"/>
        </w:rPr>
      </w:pPr>
      <w:r>
        <w:rPr>
          <w:b w:val="1"/>
        </w:rPr>
        <w:t>РОССИЙСКОЙ ФЕДЕРАЦИИ»</w:t>
      </w:r>
    </w:p>
    <w:p w14:paraId="8C030000">
      <w:pPr>
        <w:widowControl w:val="0"/>
        <w:tabs>
          <w:tab w:leader="none" w:pos="90" w:val="left"/>
        </w:tabs>
        <w:ind/>
        <w:jc w:val="center"/>
        <w:rPr>
          <w:b w:val="1"/>
          <w:sz w:val="31"/>
        </w:rPr>
      </w:pPr>
    </w:p>
    <w:p w14:paraId="8D030000">
      <w:pPr>
        <w:widowControl w:val="0"/>
        <w:ind w:firstLine="709" w:left="0"/>
        <w:jc w:val="both"/>
        <w:outlineLvl w:val="0"/>
      </w:pPr>
      <w:r>
        <w:t>В проекте областного бюджета по разделу «Межбюджетные трансферты общего характера бюджетам бюджетной системы Российской Федерации» на 2025 год предусмотрены бюджетные ассигнования в сумме 16 208,3 млн рублей, на 2026 год – 13 416,1 млн рублей и на 2027 год – 13 952,7 млн рублей.</w:t>
      </w:r>
    </w:p>
    <w:p w14:paraId="8E030000">
      <w:pPr>
        <w:widowControl w:val="0"/>
        <w:tabs>
          <w:tab w:leader="none" w:pos="90" w:val="left"/>
        </w:tabs>
        <w:ind w:firstLine="709" w:left="0"/>
        <w:jc w:val="both"/>
      </w:pPr>
      <w:r>
        <w:t>Также за счет средств областного бюджета предусмотрены иные межбюджетные трансферты на поощрение органов местного самоуправления муниципальных районов и городских округов за развитие доходной базы, исходя из дополнительно поступивших в областной бюджет доходов от реализуемых на территориях муниципальных образований проектов, и с учетом достижения целей, показателей национальных, федеральных и региональных проектов на 2026 год – 150,0 млн рублей.</w:t>
      </w:r>
    </w:p>
    <w:p w14:paraId="8F030000">
      <w:pPr>
        <w:widowControl w:val="0"/>
        <w:tabs>
          <w:tab w:leader="none" w:pos="90" w:val="left"/>
        </w:tabs>
        <w:ind w:firstLine="709" w:left="0"/>
        <w:jc w:val="both"/>
        <w:rPr>
          <w:shd w:fill="CAA4FF" w:val="clear"/>
        </w:rPr>
      </w:pPr>
      <w:r>
        <w:rPr>
          <w:spacing w:val="-1"/>
        </w:rPr>
        <w:t xml:space="preserve">Формирование объемов межбюджетных трансфертов </w:t>
      </w:r>
      <w:r>
        <w:t xml:space="preserve">бюджетам бюджетной системы Российской Федерации </w:t>
      </w:r>
      <w:r>
        <w:rPr>
          <w:spacing w:val="-1"/>
        </w:rPr>
        <w:t>описаны в следующем разделе пояснительной записки - Межбюджетные отношения.</w:t>
      </w:r>
    </w:p>
    <w:p w14:paraId="90030000">
      <w:pPr>
        <w:ind w:firstLine="709" w:left="0"/>
        <w:jc w:val="both"/>
        <w:outlineLvl w:val="0"/>
        <w:rPr>
          <w:b w:val="1"/>
        </w:rPr>
      </w:pPr>
      <w:r>
        <w:rPr>
          <w:spacing w:val="-1"/>
        </w:rPr>
        <w:t>Общий объем межбюджетных трансфертов местным бюджетам по 108 направлениям планируется на 2025 год в сумме 154 916,</w:t>
      </w:r>
      <w:r>
        <w:rPr>
          <w:spacing w:val="-1"/>
        </w:rPr>
        <w:t>3</w:t>
      </w:r>
      <w:r>
        <w:t xml:space="preserve"> </w:t>
      </w:r>
      <w:r>
        <w:rPr>
          <w:spacing w:val="-1"/>
        </w:rPr>
        <w:t>млн рублей. На 2026 и 2027 годы межбюджетные трансферты предусматриваются соответственно в объемах 126 783,8 млн рублей и 126 117,9</w:t>
      </w:r>
      <w:r>
        <w:t xml:space="preserve"> </w:t>
      </w:r>
      <w:r>
        <w:rPr>
          <w:spacing w:val="-1"/>
        </w:rPr>
        <w:t>млн рублей.</w:t>
      </w:r>
    </w:p>
    <w:p w14:paraId="91030000">
      <w:pPr>
        <w:widowControl w:val="0"/>
        <w:tabs>
          <w:tab w:leader="none" w:pos="90" w:val="left"/>
          <w:tab w:leader="none" w:pos="5970" w:val="center"/>
          <w:tab w:leader="none" w:pos="6532" w:val="center"/>
          <w:tab w:leader="none" w:pos="8670" w:val="right"/>
          <w:tab w:leader="none" w:pos="10545" w:val="right"/>
        </w:tabs>
        <w:ind w:firstLine="709" w:left="0"/>
        <w:jc w:val="both"/>
      </w:pPr>
      <w:r>
        <w:t>Указанные межбюджетные трансферты распределены по 10 разделам бюджетной классификации расходов, в том числе:</w:t>
      </w:r>
    </w:p>
    <w:p w14:paraId="92030000">
      <w:pPr>
        <w:ind w:firstLine="709" w:left="0"/>
        <w:jc w:val="both"/>
      </w:pPr>
      <w:r>
        <w:t>- по разделу 0100 «Общегосударственные вопросы» –                                        837,1 млн рублей;</w:t>
      </w:r>
    </w:p>
    <w:p w14:paraId="93030000">
      <w:pPr>
        <w:ind w:firstLine="709" w:left="0"/>
        <w:jc w:val="both"/>
      </w:pPr>
      <w:r>
        <w:t>- по разделу 0200 «Национальная оборона» –127,8 млн рублей;</w:t>
      </w:r>
    </w:p>
    <w:p w14:paraId="94030000">
      <w:pPr>
        <w:ind w:firstLine="709" w:left="0"/>
        <w:jc w:val="both"/>
      </w:pPr>
      <w:r>
        <w:t>- по разделу 0400 «Национальная экономика» – 17 310,7 млн рублей;</w:t>
      </w:r>
    </w:p>
    <w:p w14:paraId="95030000">
      <w:pPr>
        <w:ind w:firstLine="709" w:left="0"/>
        <w:jc w:val="both"/>
      </w:pPr>
      <w:r>
        <w:t>- по разделу 0500 «Жилищно-коммунальное хозяйство» –</w:t>
      </w:r>
      <w:r>
        <w:br/>
      </w:r>
      <w:r>
        <w:t>13 860,2 млн рублей;</w:t>
      </w:r>
    </w:p>
    <w:p w14:paraId="96030000">
      <w:pPr>
        <w:ind w:firstLine="709" w:left="0"/>
        <w:jc w:val="both"/>
      </w:pPr>
      <w:r>
        <w:t>- по разделу 0700 «Образование» – 66 586,4 млн рублей;</w:t>
      </w:r>
    </w:p>
    <w:p w14:paraId="97030000">
      <w:pPr>
        <w:ind w:firstLine="709" w:left="0"/>
        <w:jc w:val="both"/>
      </w:pPr>
      <w:r>
        <w:t>- по разделу 0800 «Культура, кинематография» – 715,3 млн рублей;</w:t>
      </w:r>
    </w:p>
    <w:p w14:paraId="98030000">
      <w:pPr>
        <w:ind w:firstLine="709" w:left="0"/>
        <w:jc w:val="both"/>
      </w:pPr>
      <w:r>
        <w:t>- по разделу 0900 «Здравоохранение» – 355,</w:t>
      </w:r>
      <w:r>
        <w:t>0</w:t>
      </w:r>
      <w:r>
        <w:t xml:space="preserve"> млн рублей;</w:t>
      </w:r>
    </w:p>
    <w:p w14:paraId="99030000">
      <w:pPr>
        <w:ind w:firstLine="709" w:left="0"/>
        <w:jc w:val="both"/>
      </w:pPr>
      <w:r>
        <w:t>- по разделу 1000 «Социальная политика» – 38 594,</w:t>
      </w:r>
      <w:r>
        <w:t>6</w:t>
      </w:r>
      <w:r>
        <w:t xml:space="preserve"> млн рублей;</w:t>
      </w:r>
    </w:p>
    <w:p w14:paraId="9A030000">
      <w:pPr>
        <w:ind w:firstLine="709" w:left="0"/>
        <w:jc w:val="both"/>
      </w:pPr>
      <w:r>
        <w:t>- по разделу 1100 «Физическая культура и спорт» – 320,9 млн рублей;</w:t>
      </w:r>
    </w:p>
    <w:p w14:paraId="9B030000">
      <w:pPr>
        <w:ind w:firstLine="709" w:left="0"/>
        <w:jc w:val="both"/>
      </w:pPr>
      <w:r>
        <w:t>- по разделу 1400 «Межбюджетные трансферты общего характера бюджетам бюджетной системы Российской Федерации» – 16 208,3 млн рублей.</w:t>
      </w:r>
    </w:p>
    <w:p w14:paraId="9C030000">
      <w:pPr>
        <w:ind w:firstLine="709" w:left="0"/>
        <w:jc w:val="both"/>
      </w:pPr>
      <w:r>
        <w:rPr>
          <w:spacing w:val="-1"/>
        </w:rPr>
        <w:t>Информация о межбюджетных трансфертах из областного бюджета местным бюджетам на 2025-2027 годы по разделам и направлениям расходования представлена в приложениях 2, 3 и 4 к настоящей пояснительной записке.</w:t>
      </w:r>
    </w:p>
    <w:p w14:paraId="9D030000">
      <w:pPr>
        <w:widowControl w:val="0"/>
        <w:tabs>
          <w:tab w:leader="none" w:pos="90" w:val="left"/>
          <w:tab w:leader="none" w:pos="5970" w:val="center"/>
          <w:tab w:leader="none" w:pos="6532" w:val="center"/>
          <w:tab w:leader="none" w:pos="8670" w:val="right"/>
          <w:tab w:leader="none" w:pos="10545" w:val="right"/>
        </w:tabs>
        <w:spacing w:line="228" w:lineRule="auto"/>
        <w:ind/>
        <w:jc w:val="center"/>
        <w:rPr>
          <w:b w:val="1"/>
        </w:rPr>
      </w:pPr>
    </w:p>
    <w:p w14:paraId="9E030000">
      <w:pPr>
        <w:widowControl w:val="0"/>
        <w:tabs>
          <w:tab w:leader="none" w:pos="90" w:val="left"/>
          <w:tab w:leader="none" w:pos="5970" w:val="center"/>
          <w:tab w:leader="none" w:pos="6532" w:val="center"/>
          <w:tab w:leader="none" w:pos="8670" w:val="right"/>
          <w:tab w:leader="none" w:pos="10545" w:val="right"/>
        </w:tabs>
        <w:spacing w:line="228" w:lineRule="auto"/>
        <w:ind/>
        <w:jc w:val="center"/>
        <w:rPr>
          <w:b w:val="1"/>
        </w:rPr>
      </w:pPr>
      <w:r>
        <w:rPr>
          <w:b w:val="1"/>
        </w:rPr>
        <w:t>МЕЖБЮДЖЕТНЫЕ ОТНОШЕНИЯ</w:t>
      </w:r>
    </w:p>
    <w:p w14:paraId="9F030000">
      <w:pPr>
        <w:widowControl w:val="0"/>
        <w:tabs>
          <w:tab w:leader="none" w:pos="90" w:val="left"/>
          <w:tab w:leader="none" w:pos="5970" w:val="center"/>
          <w:tab w:leader="none" w:pos="6532" w:val="center"/>
          <w:tab w:leader="none" w:pos="8670" w:val="right"/>
          <w:tab w:leader="none" w:pos="10545" w:val="right"/>
        </w:tabs>
        <w:spacing w:line="228" w:lineRule="auto"/>
        <w:ind/>
        <w:jc w:val="center"/>
        <w:rPr>
          <w:b w:val="1"/>
          <w:highlight w:val="yellow"/>
        </w:rPr>
      </w:pPr>
    </w:p>
    <w:p w14:paraId="A0030000">
      <w:pPr>
        <w:ind w:firstLine="709" w:left="0"/>
        <w:jc w:val="both"/>
        <w:rPr>
          <w:spacing w:val="-1"/>
        </w:rPr>
      </w:pPr>
      <w:r>
        <w:rPr>
          <w:spacing w:val="-1"/>
        </w:rPr>
        <w:t>Общий объем межбюджетных трансфертов местным бюджетам на 2025 год составит 46,6 процента всех расходов областного бюджета. Межбюджетные трансферты по их видам приведены в следующей таблице.</w:t>
      </w:r>
    </w:p>
    <w:p w14:paraId="A1030000">
      <w:pPr>
        <w:ind w:firstLine="709" w:left="0"/>
        <w:jc w:val="both"/>
        <w:outlineLvl w:val="1"/>
        <w:rPr>
          <w:sz w:val="22"/>
        </w:rPr>
      </w:pPr>
    </w:p>
    <w:p w14:paraId="A2030000">
      <w:pPr>
        <w:ind w:firstLine="709" w:left="0"/>
        <w:jc w:val="right"/>
        <w:outlineLvl w:val="1"/>
      </w:pPr>
      <w:r>
        <w:t>млн рублей</w:t>
      </w:r>
    </w:p>
    <w:tbl>
      <w:tblPr>
        <w:tblStyle w:val="Style_5"/>
        <w:tblBorders>
          <w:top w:color="000000" w:sz="4" w:val="single"/>
          <w:left w:color="000000" w:sz="4" w:val="single"/>
          <w:bottom w:color="000000" w:sz="4" w:val="single"/>
          <w:right w:color="000000" w:sz="4" w:val="single"/>
          <w:insideH w:color="000000" w:sz="4" w:val="single"/>
          <w:insideV w:color="000000" w:sz="4" w:val="single"/>
        </w:tblBorders>
        <w:tblLayout w:type="fixed"/>
        <w:tblCellMar>
          <w:left w:type="dxa" w:w="28"/>
          <w:right w:type="dxa" w:w="28"/>
        </w:tblCellMar>
      </w:tblPr>
      <w:tblGrid>
        <w:gridCol w:w="4175"/>
        <w:gridCol w:w="1772"/>
        <w:gridCol w:w="1966"/>
        <w:gridCol w:w="2008"/>
      </w:tblGrid>
      <w:tr>
        <w:tc>
          <w:tcPr>
            <w:tcW w:type="dxa" w:w="4175"/>
            <w:vMerge w:val="restart"/>
            <w:tcBorders>
              <w:top w:color="000000" w:sz="4" w:val="single"/>
              <w:left w:color="000000" w:sz="4" w:val="single"/>
              <w:bottom w:color="000000" w:sz="4" w:val="single"/>
              <w:right w:color="000000" w:sz="4" w:val="single"/>
            </w:tcBorders>
            <w:tcMar>
              <w:left w:type="dxa" w:w="28"/>
              <w:right w:type="dxa" w:w="28"/>
            </w:tcMar>
          </w:tcPr>
          <w:p w14:paraId="A3030000">
            <w:pPr>
              <w:spacing w:line="276" w:lineRule="auto"/>
              <w:ind/>
              <w:jc w:val="center"/>
              <w:outlineLvl w:val="1"/>
              <w:rPr>
                <w:b w:val="1"/>
              </w:rPr>
            </w:pPr>
            <w:r>
              <w:rPr>
                <w:b w:val="1"/>
              </w:rPr>
              <w:t>Наименование показателя</w:t>
            </w:r>
          </w:p>
        </w:tc>
        <w:tc>
          <w:tcPr>
            <w:tcW w:type="dxa" w:w="5746"/>
            <w:gridSpan w:val="3"/>
            <w:tcBorders>
              <w:top w:color="000000" w:sz="4" w:val="single"/>
              <w:left w:color="000000" w:sz="4" w:val="single"/>
              <w:bottom w:color="000000" w:sz="4" w:val="single"/>
              <w:right w:color="000000" w:sz="4" w:val="single"/>
            </w:tcBorders>
            <w:tcMar>
              <w:left w:type="dxa" w:w="28"/>
              <w:right w:type="dxa" w:w="28"/>
            </w:tcMar>
          </w:tcPr>
          <w:p w14:paraId="A4030000">
            <w:pPr>
              <w:spacing w:line="276" w:lineRule="auto"/>
              <w:ind w:firstLine="709" w:left="-28" w:right="-28"/>
              <w:jc w:val="center"/>
              <w:outlineLvl w:val="1"/>
              <w:rPr>
                <w:b w:val="1"/>
              </w:rPr>
            </w:pPr>
            <w:r>
              <w:rPr>
                <w:b w:val="1"/>
              </w:rPr>
              <w:t>Проект</w:t>
            </w:r>
          </w:p>
        </w:tc>
      </w:tr>
      <w:tr>
        <w:tc>
          <w:tcPr>
            <w:tcW w:type="dxa" w:w="4175"/>
            <w:gridSpan w:val="1"/>
            <w:vMerge w:val="continue"/>
            <w:tcBorders>
              <w:top w:color="000000" w:sz="4" w:val="single"/>
              <w:left w:color="000000" w:sz="4" w:val="single"/>
              <w:bottom w:color="000000" w:sz="4" w:val="single"/>
              <w:right w:color="000000" w:sz="4" w:val="single"/>
            </w:tcBorders>
            <w:tcMar>
              <w:left w:type="dxa" w:w="28"/>
              <w:right w:type="dxa" w:w="28"/>
            </w:tcMar>
          </w:tcPr>
          <w:p/>
        </w:tc>
        <w:tc>
          <w:tcPr>
            <w:tcW w:type="dxa" w:w="1772"/>
            <w:tcBorders>
              <w:top w:color="000000" w:sz="4" w:val="single"/>
              <w:left w:color="000000" w:sz="4" w:val="single"/>
              <w:bottom w:color="000000" w:sz="4" w:val="single"/>
              <w:right w:color="000000" w:sz="4" w:val="single"/>
            </w:tcBorders>
            <w:tcMar>
              <w:left w:type="dxa" w:w="28"/>
              <w:right w:type="dxa" w:w="28"/>
            </w:tcMar>
            <w:vAlign w:val="center"/>
          </w:tcPr>
          <w:p w14:paraId="A5030000">
            <w:pPr>
              <w:ind w:firstLine="0" w:left="-28" w:right="-28"/>
              <w:jc w:val="center"/>
              <w:outlineLvl w:val="1"/>
              <w:rPr>
                <w:b w:val="1"/>
              </w:rPr>
            </w:pPr>
            <w:r>
              <w:rPr>
                <w:b w:val="1"/>
              </w:rPr>
              <w:t>2025 год</w:t>
            </w:r>
          </w:p>
        </w:tc>
        <w:tc>
          <w:tcPr>
            <w:tcW w:type="dxa" w:w="1966"/>
            <w:tcBorders>
              <w:top w:color="000000" w:sz="4" w:val="single"/>
              <w:left w:color="000000" w:sz="4" w:val="single"/>
              <w:bottom w:color="000000" w:sz="4" w:val="single"/>
              <w:right w:color="000000" w:sz="4" w:val="single"/>
            </w:tcBorders>
            <w:tcMar>
              <w:left w:type="dxa" w:w="28"/>
              <w:right w:type="dxa" w:w="28"/>
            </w:tcMar>
            <w:vAlign w:val="center"/>
          </w:tcPr>
          <w:p w14:paraId="A6030000">
            <w:pPr>
              <w:ind w:firstLine="0" w:left="-28" w:right="-28"/>
              <w:jc w:val="center"/>
              <w:outlineLvl w:val="1"/>
              <w:rPr>
                <w:b w:val="1"/>
              </w:rPr>
            </w:pPr>
            <w:r>
              <w:rPr>
                <w:b w:val="1"/>
              </w:rPr>
              <w:t>2026 год</w:t>
            </w:r>
          </w:p>
        </w:tc>
        <w:tc>
          <w:tcPr>
            <w:tcW w:type="dxa" w:w="2008"/>
            <w:tcBorders>
              <w:top w:color="000000" w:sz="4" w:val="single"/>
              <w:left w:color="000000" w:sz="4" w:val="single"/>
              <w:bottom w:color="000000" w:sz="4" w:val="single"/>
              <w:right w:color="000000" w:sz="4" w:val="single"/>
            </w:tcBorders>
            <w:tcMar>
              <w:left w:type="dxa" w:w="28"/>
              <w:right w:type="dxa" w:w="28"/>
            </w:tcMar>
            <w:vAlign w:val="center"/>
          </w:tcPr>
          <w:p w14:paraId="A7030000">
            <w:pPr>
              <w:ind w:firstLine="0" w:left="-28" w:right="-28"/>
              <w:jc w:val="center"/>
              <w:outlineLvl w:val="1"/>
              <w:rPr>
                <w:b w:val="1"/>
              </w:rPr>
            </w:pPr>
            <w:r>
              <w:rPr>
                <w:b w:val="1"/>
              </w:rPr>
              <w:t>2027 год</w:t>
            </w:r>
          </w:p>
        </w:tc>
      </w:tr>
      <w:tr>
        <w:tc>
          <w:tcPr>
            <w:tcW w:type="dxa" w:w="4175"/>
            <w:tcBorders>
              <w:top w:color="000000" w:sz="4" w:val="single"/>
              <w:left w:color="000000" w:sz="4" w:val="single"/>
              <w:bottom w:color="000000" w:sz="4" w:val="single"/>
              <w:right w:color="000000" w:sz="4" w:val="single"/>
            </w:tcBorders>
            <w:tcMar>
              <w:left w:type="dxa" w:w="28"/>
              <w:right w:type="dxa" w:w="28"/>
            </w:tcMar>
            <w:vAlign w:val="bottom"/>
          </w:tcPr>
          <w:p w14:paraId="A8030000">
            <w:pPr>
              <w:spacing w:line="276" w:lineRule="auto"/>
              <w:ind/>
              <w:outlineLvl w:val="1"/>
            </w:pPr>
            <w:r>
              <w:t>Всего, в том числе:</w:t>
            </w:r>
          </w:p>
        </w:tc>
        <w:tc>
          <w:tcPr>
            <w:tcW w:type="dxa" w:w="1772"/>
            <w:tcBorders>
              <w:top w:color="000000" w:sz="4" w:val="single"/>
              <w:left w:color="000000" w:sz="4" w:val="single"/>
              <w:bottom w:color="000000" w:sz="4" w:val="single"/>
              <w:right w:color="000000" w:sz="4" w:val="single"/>
            </w:tcBorders>
            <w:tcMar>
              <w:left w:type="dxa" w:w="28"/>
              <w:right w:type="dxa" w:w="28"/>
            </w:tcMar>
            <w:vAlign w:val="bottom"/>
          </w:tcPr>
          <w:p w14:paraId="A9030000">
            <w:pPr>
              <w:ind w:firstLine="0" w:left="-28" w:right="-28"/>
              <w:jc w:val="center"/>
              <w:outlineLvl w:val="1"/>
            </w:pPr>
            <w:r>
              <w:t>154 916,3</w:t>
            </w:r>
          </w:p>
        </w:tc>
        <w:tc>
          <w:tcPr>
            <w:tcW w:type="dxa" w:w="1966"/>
            <w:tcBorders>
              <w:top w:color="000000" w:sz="4" w:val="single"/>
              <w:left w:color="000000" w:sz="4" w:val="single"/>
              <w:bottom w:color="000000" w:sz="4" w:val="single"/>
              <w:right w:color="000000" w:sz="4" w:val="single"/>
            </w:tcBorders>
            <w:tcMar>
              <w:left w:type="dxa" w:w="28"/>
              <w:right w:type="dxa" w:w="28"/>
            </w:tcMar>
            <w:vAlign w:val="bottom"/>
          </w:tcPr>
          <w:p w14:paraId="AA030000">
            <w:pPr>
              <w:ind w:firstLine="0" w:left="-28" w:right="-28"/>
              <w:jc w:val="center"/>
              <w:outlineLvl w:val="1"/>
            </w:pPr>
            <w:r>
              <w:t>126 783,8</w:t>
            </w:r>
          </w:p>
        </w:tc>
        <w:tc>
          <w:tcPr>
            <w:tcW w:type="dxa" w:w="2008"/>
            <w:tcBorders>
              <w:top w:color="000000" w:sz="4" w:val="single"/>
              <w:left w:color="000000" w:sz="4" w:val="single"/>
              <w:bottom w:color="000000" w:sz="4" w:val="single"/>
              <w:right w:color="000000" w:sz="4" w:val="single"/>
            </w:tcBorders>
            <w:tcMar>
              <w:left w:type="dxa" w:w="28"/>
              <w:right w:type="dxa" w:w="28"/>
            </w:tcMar>
            <w:vAlign w:val="bottom"/>
          </w:tcPr>
          <w:p w14:paraId="AB030000">
            <w:pPr>
              <w:ind w:firstLine="0" w:left="-28" w:right="-28"/>
              <w:jc w:val="center"/>
              <w:outlineLvl w:val="1"/>
            </w:pPr>
            <w:r>
              <w:t>126 117,9</w:t>
            </w:r>
          </w:p>
        </w:tc>
      </w:tr>
      <w:tr>
        <w:tc>
          <w:tcPr>
            <w:tcW w:type="dxa" w:w="4175"/>
            <w:tcBorders>
              <w:top w:color="000000" w:sz="4" w:val="single"/>
              <w:left w:color="000000" w:sz="4" w:val="single"/>
              <w:bottom w:color="000000" w:sz="4" w:val="single"/>
              <w:right w:color="000000" w:sz="4" w:val="single"/>
            </w:tcBorders>
            <w:tcMar>
              <w:left w:type="dxa" w:w="28"/>
              <w:right w:type="dxa" w:w="28"/>
            </w:tcMar>
            <w:vAlign w:val="bottom"/>
          </w:tcPr>
          <w:p w14:paraId="AC030000">
            <w:pPr>
              <w:spacing w:line="276" w:lineRule="auto"/>
              <w:ind/>
              <w:outlineLvl w:val="1"/>
            </w:pPr>
            <w:r>
              <w:t xml:space="preserve">Дотации </w:t>
            </w:r>
          </w:p>
        </w:tc>
        <w:tc>
          <w:tcPr>
            <w:tcW w:type="dxa" w:w="1772"/>
            <w:tcBorders>
              <w:top w:color="000000" w:sz="4" w:val="single"/>
              <w:left w:color="000000" w:sz="4" w:val="single"/>
              <w:bottom w:color="000000" w:sz="4" w:val="single"/>
              <w:right w:color="000000" w:sz="4" w:val="single"/>
            </w:tcBorders>
            <w:tcMar>
              <w:left w:type="dxa" w:w="28"/>
              <w:right w:type="dxa" w:w="28"/>
            </w:tcMar>
            <w:vAlign w:val="center"/>
          </w:tcPr>
          <w:p w14:paraId="AD030000">
            <w:pPr>
              <w:ind w:firstLine="0" w:left="-28" w:right="-28"/>
              <w:jc w:val="center"/>
              <w:outlineLvl w:val="1"/>
            </w:pPr>
            <w:r>
              <w:t>12 782,9</w:t>
            </w:r>
          </w:p>
        </w:tc>
        <w:tc>
          <w:tcPr>
            <w:tcW w:type="dxa" w:w="1966"/>
            <w:tcBorders>
              <w:top w:color="000000" w:sz="4" w:val="single"/>
              <w:left w:color="000000" w:sz="4" w:val="single"/>
              <w:bottom w:color="000000" w:sz="4" w:val="single"/>
              <w:right w:color="000000" w:sz="4" w:val="single"/>
            </w:tcBorders>
            <w:tcMar>
              <w:left w:type="dxa" w:w="28"/>
              <w:right w:type="dxa" w:w="28"/>
            </w:tcMar>
            <w:vAlign w:val="center"/>
          </w:tcPr>
          <w:p w14:paraId="AE030000">
            <w:pPr>
              <w:ind w:firstLine="0" w:left="-28" w:right="-28"/>
              <w:jc w:val="center"/>
              <w:outlineLvl w:val="1"/>
            </w:pPr>
            <w:r>
              <w:t>10 080,9</w:t>
            </w:r>
          </w:p>
        </w:tc>
        <w:tc>
          <w:tcPr>
            <w:tcW w:type="dxa" w:w="2008"/>
            <w:tcBorders>
              <w:top w:color="000000" w:sz="4" w:val="single"/>
              <w:left w:color="000000" w:sz="4" w:val="single"/>
              <w:bottom w:color="000000" w:sz="4" w:val="single"/>
              <w:right w:color="000000" w:sz="4" w:val="single"/>
            </w:tcBorders>
            <w:tcMar>
              <w:left w:type="dxa" w:w="28"/>
              <w:right w:type="dxa" w:w="28"/>
            </w:tcMar>
            <w:vAlign w:val="center"/>
          </w:tcPr>
          <w:p w14:paraId="AF030000">
            <w:pPr>
              <w:ind w:right="-28"/>
              <w:jc w:val="center"/>
              <w:outlineLvl w:val="1"/>
            </w:pPr>
            <w:r>
              <w:t>12 099,8</w:t>
            </w:r>
          </w:p>
        </w:tc>
      </w:tr>
      <w:tr>
        <w:tc>
          <w:tcPr>
            <w:tcW w:type="dxa" w:w="4175"/>
            <w:tcBorders>
              <w:top w:color="000000" w:sz="4" w:val="single"/>
              <w:left w:color="000000" w:sz="4" w:val="single"/>
              <w:bottom w:color="000000" w:sz="4" w:val="single"/>
              <w:right w:color="000000" w:sz="4" w:val="single"/>
            </w:tcBorders>
            <w:tcMar>
              <w:left w:type="dxa" w:w="28"/>
              <w:right w:type="dxa" w:w="28"/>
            </w:tcMar>
            <w:vAlign w:val="bottom"/>
          </w:tcPr>
          <w:p w14:paraId="B0030000">
            <w:pPr>
              <w:spacing w:line="276" w:lineRule="auto"/>
              <w:ind/>
              <w:outlineLvl w:val="1"/>
            </w:pPr>
            <w:r>
              <w:t xml:space="preserve">Субсидии местным бюджетам </w:t>
            </w:r>
          </w:p>
        </w:tc>
        <w:tc>
          <w:tcPr>
            <w:tcW w:type="dxa" w:w="1772"/>
            <w:tcBorders>
              <w:top w:color="000000" w:sz="4" w:val="single"/>
              <w:left w:color="000000" w:sz="4" w:val="single"/>
              <w:bottom w:color="000000" w:sz="4" w:val="single"/>
              <w:right w:color="000000" w:sz="4" w:val="single"/>
            </w:tcBorders>
            <w:tcMar>
              <w:left w:type="dxa" w:w="28"/>
              <w:right w:type="dxa" w:w="28"/>
            </w:tcMar>
            <w:vAlign w:val="center"/>
          </w:tcPr>
          <w:p w14:paraId="B1030000">
            <w:pPr>
              <w:ind w:firstLine="0" w:left="-28" w:right="-28"/>
              <w:jc w:val="center"/>
              <w:outlineLvl w:val="1"/>
            </w:pPr>
            <w:r>
              <w:t>44 904,9</w:t>
            </w:r>
          </w:p>
        </w:tc>
        <w:tc>
          <w:tcPr>
            <w:tcW w:type="dxa" w:w="1966"/>
            <w:tcBorders>
              <w:top w:color="000000" w:sz="4" w:val="single"/>
              <w:left w:color="000000" w:sz="4" w:val="single"/>
              <w:bottom w:color="000000" w:sz="4" w:val="single"/>
              <w:right w:color="000000" w:sz="4" w:val="single"/>
            </w:tcBorders>
            <w:tcMar>
              <w:left w:type="dxa" w:w="28"/>
              <w:right w:type="dxa" w:w="28"/>
            </w:tcMar>
            <w:vAlign w:val="center"/>
          </w:tcPr>
          <w:p w14:paraId="B2030000">
            <w:pPr>
              <w:ind w:firstLine="0" w:left="-28" w:right="-28"/>
              <w:jc w:val="center"/>
              <w:outlineLvl w:val="1"/>
            </w:pPr>
            <w:r>
              <w:t>16 276,2</w:t>
            </w:r>
          </w:p>
        </w:tc>
        <w:tc>
          <w:tcPr>
            <w:tcW w:type="dxa" w:w="2008"/>
            <w:tcBorders>
              <w:top w:color="000000" w:sz="4" w:val="single"/>
              <w:left w:color="000000" w:sz="4" w:val="single"/>
              <w:bottom w:color="000000" w:sz="4" w:val="single"/>
              <w:right w:color="000000" w:sz="4" w:val="single"/>
            </w:tcBorders>
            <w:tcMar>
              <w:left w:type="dxa" w:w="28"/>
              <w:right w:type="dxa" w:w="28"/>
            </w:tcMar>
            <w:vAlign w:val="center"/>
          </w:tcPr>
          <w:p w14:paraId="B3030000">
            <w:pPr>
              <w:ind w:right="-28"/>
              <w:jc w:val="center"/>
              <w:outlineLvl w:val="1"/>
            </w:pPr>
            <w:r>
              <w:t>12 725,4</w:t>
            </w:r>
          </w:p>
        </w:tc>
      </w:tr>
      <w:tr>
        <w:tc>
          <w:tcPr>
            <w:tcW w:type="dxa" w:w="4175"/>
            <w:tcBorders>
              <w:top w:color="000000" w:sz="4" w:val="single"/>
              <w:left w:color="000000" w:sz="4" w:val="single"/>
              <w:bottom w:color="000000" w:sz="4" w:val="single"/>
              <w:right w:color="000000" w:sz="4" w:val="single"/>
            </w:tcBorders>
            <w:tcMar>
              <w:left w:type="dxa" w:w="28"/>
              <w:right w:type="dxa" w:w="28"/>
            </w:tcMar>
            <w:vAlign w:val="bottom"/>
          </w:tcPr>
          <w:p w14:paraId="B4030000">
            <w:pPr>
              <w:spacing w:line="276" w:lineRule="auto"/>
              <w:ind/>
              <w:outlineLvl w:val="1"/>
            </w:pPr>
            <w:r>
              <w:t xml:space="preserve">Субвенции местным бюджетам </w:t>
            </w:r>
          </w:p>
        </w:tc>
        <w:tc>
          <w:tcPr>
            <w:tcW w:type="dxa" w:w="1772"/>
            <w:tcBorders>
              <w:top w:color="000000" w:sz="4" w:val="single"/>
              <w:left w:color="000000" w:sz="4" w:val="single"/>
              <w:bottom w:color="000000" w:sz="4" w:val="single"/>
              <w:right w:color="000000" w:sz="4" w:val="single"/>
            </w:tcBorders>
            <w:tcMar>
              <w:left w:type="dxa" w:w="28"/>
              <w:right w:type="dxa" w:w="28"/>
            </w:tcMar>
            <w:vAlign w:val="center"/>
          </w:tcPr>
          <w:p w14:paraId="B5030000">
            <w:pPr>
              <w:ind w:firstLine="0" w:left="-28" w:right="-28"/>
              <w:jc w:val="center"/>
              <w:outlineLvl w:val="1"/>
            </w:pPr>
            <w:r>
              <w:t>94 950,9</w:t>
            </w:r>
          </w:p>
        </w:tc>
        <w:tc>
          <w:tcPr>
            <w:tcW w:type="dxa" w:w="1966"/>
            <w:tcBorders>
              <w:top w:color="000000" w:sz="4" w:val="single"/>
              <w:left w:color="000000" w:sz="4" w:val="single"/>
              <w:bottom w:color="000000" w:sz="4" w:val="single"/>
              <w:right w:color="000000" w:sz="4" w:val="single"/>
            </w:tcBorders>
            <w:tcMar>
              <w:left w:type="dxa" w:w="28"/>
              <w:right w:type="dxa" w:w="28"/>
            </w:tcMar>
            <w:vAlign w:val="center"/>
          </w:tcPr>
          <w:p w14:paraId="B6030000">
            <w:pPr>
              <w:ind w:firstLine="0" w:left="-28" w:right="-28"/>
              <w:jc w:val="center"/>
              <w:outlineLvl w:val="1"/>
            </w:pPr>
            <w:r>
              <w:t>98 290,4</w:t>
            </w:r>
          </w:p>
        </w:tc>
        <w:tc>
          <w:tcPr>
            <w:tcW w:type="dxa" w:w="2008"/>
            <w:tcBorders>
              <w:top w:color="000000" w:sz="4" w:val="single"/>
              <w:left w:color="000000" w:sz="4" w:val="single"/>
              <w:bottom w:color="000000" w:sz="4" w:val="single"/>
              <w:right w:color="000000" w:sz="4" w:val="single"/>
            </w:tcBorders>
            <w:tcMar>
              <w:left w:type="dxa" w:w="28"/>
              <w:right w:type="dxa" w:w="28"/>
            </w:tcMar>
            <w:vAlign w:val="center"/>
          </w:tcPr>
          <w:p w14:paraId="B7030000">
            <w:pPr>
              <w:ind/>
              <w:jc w:val="center"/>
              <w:outlineLvl w:val="1"/>
            </w:pPr>
            <w:r>
              <w:t>99 156</w:t>
            </w:r>
            <w:r>
              <w:t>,</w:t>
            </w:r>
            <w:r>
              <w:t>4</w:t>
            </w:r>
          </w:p>
        </w:tc>
      </w:tr>
      <w:tr>
        <w:tc>
          <w:tcPr>
            <w:tcW w:type="dxa" w:w="4175"/>
            <w:tcBorders>
              <w:top w:color="000000" w:sz="4" w:val="single"/>
              <w:left w:color="000000" w:sz="4" w:val="single"/>
              <w:bottom w:color="000000" w:sz="4" w:val="single"/>
              <w:right w:color="000000" w:sz="4" w:val="single"/>
            </w:tcBorders>
            <w:tcMar>
              <w:left w:type="dxa" w:w="28"/>
              <w:right w:type="dxa" w:w="28"/>
            </w:tcMar>
            <w:vAlign w:val="bottom"/>
          </w:tcPr>
          <w:p w14:paraId="B8030000">
            <w:pPr>
              <w:spacing w:line="276" w:lineRule="auto"/>
              <w:ind/>
              <w:outlineLvl w:val="1"/>
            </w:pPr>
            <w:r>
              <w:t>Иные межбюджетные трансферты</w:t>
            </w:r>
          </w:p>
        </w:tc>
        <w:tc>
          <w:tcPr>
            <w:tcW w:type="dxa" w:w="1772"/>
            <w:tcBorders>
              <w:top w:color="000000" w:sz="4" w:val="single"/>
              <w:left w:color="000000" w:sz="4" w:val="single"/>
              <w:bottom w:color="000000" w:sz="4" w:val="single"/>
              <w:right w:color="000000" w:sz="4" w:val="single"/>
            </w:tcBorders>
            <w:tcMar>
              <w:left w:type="dxa" w:w="28"/>
              <w:right w:type="dxa" w:w="28"/>
            </w:tcMar>
            <w:vAlign w:val="center"/>
          </w:tcPr>
          <w:p w14:paraId="B9030000">
            <w:pPr>
              <w:ind w:firstLine="0" w:left="-28" w:right="-28"/>
              <w:jc w:val="center"/>
              <w:outlineLvl w:val="1"/>
            </w:pPr>
            <w:r>
              <w:t>2 277,6</w:t>
            </w:r>
          </w:p>
        </w:tc>
        <w:tc>
          <w:tcPr>
            <w:tcW w:type="dxa" w:w="1966"/>
            <w:tcBorders>
              <w:top w:color="000000" w:sz="4" w:val="single"/>
              <w:left w:color="000000" w:sz="4" w:val="single"/>
              <w:bottom w:color="000000" w:sz="4" w:val="single"/>
              <w:right w:color="000000" w:sz="4" w:val="single"/>
            </w:tcBorders>
            <w:tcMar>
              <w:left w:type="dxa" w:w="28"/>
              <w:right w:type="dxa" w:w="28"/>
            </w:tcMar>
            <w:vAlign w:val="center"/>
          </w:tcPr>
          <w:p w14:paraId="BA030000">
            <w:pPr>
              <w:ind w:right="-28"/>
              <w:jc w:val="center"/>
              <w:outlineLvl w:val="1"/>
            </w:pPr>
            <w:r>
              <w:t>2 136,3</w:t>
            </w:r>
          </w:p>
        </w:tc>
        <w:tc>
          <w:tcPr>
            <w:tcW w:type="dxa" w:w="2008"/>
            <w:tcBorders>
              <w:top w:color="000000" w:sz="4" w:val="single"/>
              <w:left w:color="000000" w:sz="4" w:val="single"/>
              <w:bottom w:color="000000" w:sz="4" w:val="single"/>
              <w:right w:color="000000" w:sz="4" w:val="single"/>
            </w:tcBorders>
            <w:tcMar>
              <w:left w:type="dxa" w:w="28"/>
              <w:right w:type="dxa" w:w="28"/>
            </w:tcMar>
            <w:vAlign w:val="center"/>
          </w:tcPr>
          <w:p w14:paraId="BB030000">
            <w:pPr>
              <w:ind/>
              <w:jc w:val="center"/>
              <w:outlineLvl w:val="1"/>
            </w:pPr>
            <w:r>
              <w:t>2 136,3</w:t>
            </w:r>
          </w:p>
        </w:tc>
      </w:tr>
    </w:tbl>
    <w:p w14:paraId="BC030000">
      <w:pPr>
        <w:widowControl w:val="0"/>
        <w:tabs>
          <w:tab w:leader="none" w:pos="90" w:val="left"/>
        </w:tabs>
        <w:ind w:firstLine="709" w:left="0"/>
        <w:jc w:val="both"/>
        <w:rPr>
          <w:spacing w:val="-1"/>
          <w:highlight w:val="yellow"/>
        </w:rPr>
      </w:pPr>
    </w:p>
    <w:p w14:paraId="BD030000">
      <w:pPr>
        <w:ind w:firstLine="709" w:left="0"/>
        <w:jc w:val="both"/>
        <w:outlineLvl w:val="1"/>
      </w:pPr>
      <w:r>
        <w:t>В соответствии с положениями Областного закона от 26.12.2016 № 834-ЗС «О межбюджетных отношениях органов государственной власти и органов местного самоуправления в Ростовской области» в 2025 – 2027 годах будет обеспечена передача в местные бюджеты нормативов отчислений от областных налогов и неналоговых платежей.</w:t>
      </w:r>
    </w:p>
    <w:p w14:paraId="BE030000">
      <w:pPr>
        <w:ind w:firstLine="709" w:left="0"/>
        <w:jc w:val="both"/>
        <w:outlineLvl w:val="1"/>
      </w:pPr>
      <w:r>
        <w:t xml:space="preserve">Объем поступлений доходов местных бюджетов от указанных нормативов может оцениваться на 2025 год в объеме 31 701,5 млн рублей, </w:t>
      </w:r>
      <w:r>
        <w:t>на 2026</w:t>
      </w:r>
      <w:r>
        <w:t xml:space="preserve"> год</w:t>
      </w:r>
      <w:r>
        <w:t xml:space="preserve"> – </w:t>
      </w:r>
      <w:r>
        <w:t xml:space="preserve">33 823,4 млн рублей, на </w:t>
      </w:r>
      <w:r>
        <w:t xml:space="preserve">2027 год – </w:t>
      </w:r>
      <w:r>
        <w:t>35 990,9</w:t>
      </w:r>
      <w:r>
        <w:t> млн рублей.</w:t>
      </w:r>
    </w:p>
    <w:p w14:paraId="BF030000">
      <w:pPr>
        <w:ind w:firstLine="709" w:left="0"/>
        <w:jc w:val="both"/>
        <w:outlineLvl w:val="1"/>
      </w:pPr>
      <w:r>
        <w:t>В целях реализации Областного закона от 01.08.2019 № 178-ЗС «Об инициативных проектах» и привлечения жителей к активному участию в определении приоритетных проектов зарезервированы средства на 2025 – 2027 годы в сумме 500,0 млн рублей ежегодно.</w:t>
      </w:r>
    </w:p>
    <w:p w14:paraId="C0030000">
      <w:pPr>
        <w:widowControl w:val="0"/>
        <w:tabs>
          <w:tab w:leader="none" w:pos="90" w:val="left"/>
        </w:tabs>
        <w:ind w:firstLine="709" w:left="0"/>
        <w:jc w:val="both"/>
        <w:rPr>
          <w:spacing w:val="-1"/>
          <w:highlight w:val="yellow"/>
        </w:rPr>
      </w:pPr>
    </w:p>
    <w:p w14:paraId="C1030000">
      <w:pPr>
        <w:ind/>
        <w:jc w:val="center"/>
        <w:rPr>
          <w:b w:val="1"/>
        </w:rPr>
      </w:pPr>
      <w:r>
        <w:rPr>
          <w:b w:val="1"/>
        </w:rPr>
        <w:t xml:space="preserve">Дотации </w:t>
      </w:r>
    </w:p>
    <w:p w14:paraId="C2030000">
      <w:pPr>
        <w:ind/>
        <w:jc w:val="center"/>
        <w:rPr>
          <w:b w:val="1"/>
          <w:highlight w:val="yellow"/>
        </w:rPr>
      </w:pPr>
    </w:p>
    <w:p w14:paraId="C3030000">
      <w:pPr>
        <w:ind w:firstLine="709" w:left="0"/>
        <w:jc w:val="both"/>
        <w:outlineLvl w:val="1"/>
      </w:pPr>
      <w:r>
        <w:t>Объем дотаций на выравнивание бюджетной обеспеченности муниципальных районов (городских округов) составит в 2025 году 8 719,0 млн рублей, в 2026 году – 7 031,2 млн рублей, в 2027 году – 5 131,4 млн рублей.</w:t>
      </w:r>
    </w:p>
    <w:p w14:paraId="C4030000">
      <w:pPr>
        <w:ind w:firstLine="709" w:left="0"/>
        <w:jc w:val="both"/>
        <w:outlineLvl w:val="1"/>
      </w:pPr>
      <w:r>
        <w:t>Расчеты дотаций на выравнивание бюджетной обеспеченности муниципальных образований осуществляются в соответствии с Областным законом Ростовской области от 26.12.2016 № 834-ЗС «О межбюджетных отношениях органов государственной власти и органов местного самоуправления в Ростовской области».</w:t>
      </w:r>
    </w:p>
    <w:p w14:paraId="C5030000">
      <w:pPr>
        <w:ind w:firstLine="709" w:left="0"/>
        <w:jc w:val="both"/>
        <w:outlineLvl w:val="1"/>
      </w:pPr>
      <w:r>
        <w:t>Общий объем средств, планируемых к распределению в целях выравнивания бюджетной обеспеченности муниципальных образований, проиндексирован на уровень инфляции.</w:t>
      </w:r>
    </w:p>
    <w:p w14:paraId="C6030000">
      <w:pPr>
        <w:ind w:firstLine="709" w:left="0"/>
        <w:jc w:val="both"/>
        <w:outlineLvl w:val="1"/>
      </w:pPr>
      <w:r>
        <w:t>Будет обеспечено не снижение в 2025 году по сравнению с утвержденным на 2025 год законом об областном бюджете критерия выравнивания бюджетной обеспеченности муниципальных образований и объема дотации муниципальным районам и городским округам.</w:t>
      </w:r>
    </w:p>
    <w:p w14:paraId="C7030000">
      <w:pPr>
        <w:ind w:firstLine="709" w:left="0"/>
        <w:jc w:val="both"/>
        <w:outlineLvl w:val="1"/>
      </w:pPr>
      <w:r>
        <w:t xml:space="preserve">Предоставление дотации сопровождается подписанием соглашений между администрациями муниципальных образований и министерством финансов Ростовской области, предусматривающих меры по социально-экономическому развитию и оздоровлению муниципальных финансов. </w:t>
      </w:r>
    </w:p>
    <w:p w14:paraId="C8030000">
      <w:pPr>
        <w:ind w:firstLine="709" w:left="0"/>
        <w:jc w:val="both"/>
        <w:outlineLvl w:val="1"/>
      </w:pPr>
      <w:r>
        <w:t xml:space="preserve">Также предусматриваются дотации </w:t>
      </w:r>
      <w:r>
        <w:t>на</w:t>
      </w:r>
      <w:r>
        <w:t>:</w:t>
      </w:r>
    </w:p>
    <w:p w14:paraId="C9030000">
      <w:pPr>
        <w:ind w:firstLine="709" w:left="0"/>
        <w:jc w:val="both"/>
        <w:outlineLvl w:val="1"/>
      </w:pPr>
      <w:r>
        <w:t xml:space="preserve">обеспечение сбалансированности местных бюджетов в 2025 году в сумме </w:t>
      </w:r>
      <w:r>
        <w:br/>
      </w:r>
      <w:r>
        <w:t xml:space="preserve">1 905,7 млн рублей; </w:t>
      </w:r>
    </w:p>
    <w:p w14:paraId="CA030000">
      <w:pPr>
        <w:ind w:firstLine="709" w:left="0"/>
        <w:jc w:val="both"/>
        <w:outlineLvl w:val="1"/>
      </w:pPr>
      <w:r>
        <w:t>поддержку мер по обеспечению сбалансированности местных бюджетов для частичной компенсации дополнительных расходов на повышение оплаты труда на 2025 год в объеме 2 158,2 млн рублей.</w:t>
      </w:r>
    </w:p>
    <w:p w14:paraId="CB030000">
      <w:pPr>
        <w:ind/>
        <w:jc w:val="center"/>
        <w:rPr>
          <w:b w:val="1"/>
        </w:rPr>
      </w:pPr>
    </w:p>
    <w:p w14:paraId="CC030000">
      <w:pPr>
        <w:ind/>
        <w:jc w:val="center"/>
        <w:rPr>
          <w:b w:val="1"/>
        </w:rPr>
      </w:pPr>
      <w:r>
        <w:rPr>
          <w:b w:val="1"/>
        </w:rPr>
        <w:t>Субсидии из областного бюджета</w:t>
      </w:r>
    </w:p>
    <w:p w14:paraId="CD030000">
      <w:pPr>
        <w:widowControl w:val="0"/>
        <w:ind/>
        <w:jc w:val="center"/>
        <w:rPr>
          <w:b w:val="1"/>
        </w:rPr>
      </w:pPr>
      <w:r>
        <w:rPr>
          <w:b w:val="1"/>
        </w:rPr>
        <w:t>бюджетам муниципальных районов и городских округов</w:t>
      </w:r>
    </w:p>
    <w:p w14:paraId="CE030000">
      <w:pPr>
        <w:widowControl w:val="0"/>
        <w:ind/>
        <w:jc w:val="center"/>
        <w:rPr>
          <w:b w:val="1"/>
          <w:sz w:val="20"/>
          <w:highlight w:val="yellow"/>
        </w:rPr>
      </w:pPr>
    </w:p>
    <w:p w14:paraId="CF030000">
      <w:pPr>
        <w:ind w:firstLine="709" w:left="0"/>
        <w:jc w:val="both"/>
      </w:pPr>
      <w:r>
        <w:t xml:space="preserve">Субсидии предоставляются на условиях </w:t>
      </w:r>
      <w:r>
        <w:t>софинансирования</w:t>
      </w:r>
      <w:r>
        <w:t xml:space="preserve"> и заключения Соглашений с главными распорядителями средств областного бюджета, предусматривающих, в том числе необходимость выполнения показателей результативности исполнения субсидий и графиков выполнения работ.</w:t>
      </w:r>
    </w:p>
    <w:p w14:paraId="D0030000">
      <w:pPr>
        <w:ind w:firstLine="709" w:left="0"/>
        <w:jc w:val="both"/>
      </w:pPr>
      <w:r>
        <w:t xml:space="preserve">Уровни </w:t>
      </w:r>
      <w:r>
        <w:t>софинансирования</w:t>
      </w:r>
      <w:r>
        <w:t xml:space="preserve"> рассчитываются по единой для всех субсидий методике, утвержденной постановлением Правительства Ростовской области от 28.12.2011 № 302 «Об уровне </w:t>
      </w:r>
      <w:r>
        <w:t>софинансирования</w:t>
      </w:r>
      <w:r>
        <w:t xml:space="preserve"> субсидий местным бюджетам для </w:t>
      </w:r>
      <w:r>
        <w:t>софинансирования</w:t>
      </w:r>
      <w:r>
        <w:t xml:space="preserve"> расходных обязательств, возникающих при выполнении полномочий органов местного самоуправления по вопросам местного значения». </w:t>
      </w:r>
    </w:p>
    <w:p w14:paraId="D1030000">
      <w:pPr>
        <w:ind w:firstLine="709" w:left="0"/>
        <w:jc w:val="both"/>
      </w:pPr>
      <w:r>
        <w:t>Порядок формирования, предоставления, распределения субсидий утвержден постановлением Правительства Ростовской области от 30.08.2012             № 834 «О формировании, предоставлении, распределении субсидий из областного бюджета местным бюджетам и порядке расходования иных межбюджетных трансфертов, предоставляемых из областного бюджета местным бюджетам».</w:t>
      </w:r>
    </w:p>
    <w:p w14:paraId="D2030000">
      <w:pPr>
        <w:ind w:firstLine="709" w:left="0"/>
        <w:jc w:val="both"/>
      </w:pPr>
      <w:r>
        <w:t xml:space="preserve">Общий объем субсидий местным бюджетам планируется к 1 чтению на 2025 год в сумме 44 904,9 млн рублей, из них за счет средств федерального бюджета – 11 547,3 млн рублей.  </w:t>
      </w:r>
    </w:p>
    <w:p w14:paraId="D3030000">
      <w:pPr>
        <w:ind w:firstLine="709" w:left="0"/>
        <w:jc w:val="both"/>
      </w:pPr>
      <w:r>
        <w:t xml:space="preserve">На 2026 и 2027 годы предусмотрены объемы субсидий соответственно 16 276,2 млн рублей и 12 725,4 млн рублей, из них за счет средств федерального бюджета в 2026 году – 11 547,3 млн рублей. </w:t>
      </w:r>
    </w:p>
    <w:p w14:paraId="D4030000">
      <w:pPr>
        <w:ind w:firstLine="709" w:left="0"/>
        <w:jc w:val="both"/>
      </w:pPr>
      <w:r>
        <w:t>Объемы субсидий и их распределение муниципальным образованиям могут быть уточнены при по</w:t>
      </w:r>
      <w:r>
        <w:t>дготовке проекта бюджета ко 2</w:t>
      </w:r>
      <w:r>
        <w:t xml:space="preserve"> чтению на 2025 год, а также в следующих бюджетных циклах.</w:t>
      </w:r>
    </w:p>
    <w:p w14:paraId="D5030000">
      <w:pPr>
        <w:ind w:firstLine="709" w:left="0"/>
        <w:jc w:val="both"/>
      </w:pPr>
      <w:r>
        <w:t>Субсидии сосредоточены на приоритетных направлениях социально-экономического развития Ростовской области.</w:t>
      </w:r>
    </w:p>
    <w:p w14:paraId="D6030000">
      <w:pPr>
        <w:ind w:firstLine="709" w:left="0"/>
        <w:jc w:val="both"/>
      </w:pPr>
      <w:r>
        <w:t xml:space="preserve">В 2025 году указанные средства планируется направить на 59 целевых направлений. В их числе: </w:t>
      </w:r>
    </w:p>
    <w:p w14:paraId="D7030000">
      <w:pPr>
        <w:ind w:firstLine="709" w:left="0"/>
        <w:jc w:val="both"/>
      </w:pPr>
      <w:r>
        <w:t>возмещение предприятиям ЖКХ части платы граждан за коммунальные услуги – 9 030,3 млн рублей;</w:t>
      </w:r>
    </w:p>
    <w:p w14:paraId="D8030000">
      <w:pPr>
        <w:ind w:firstLine="709" w:left="0"/>
        <w:jc w:val="both"/>
      </w:pPr>
      <w:r>
        <w:t>обеспечение реализации инфраструктурных проектов, направленных на комплексное развитие городского наземного электрического транспорта общего пользования – 7 698,0 млн рублей;</w:t>
      </w:r>
    </w:p>
    <w:p w14:paraId="D9030000">
      <w:pPr>
        <w:ind w:firstLine="709" w:left="0"/>
        <w:jc w:val="both"/>
      </w:pPr>
      <w:r>
        <w:t xml:space="preserve">капитальный ремонт учреждений социальной направленности (здравоохранения и образования) – 4 570,9 млн рублей; </w:t>
      </w:r>
    </w:p>
    <w:p w14:paraId="DA030000">
      <w:pPr>
        <w:ind w:firstLine="709" w:left="0"/>
        <w:jc w:val="both"/>
      </w:pPr>
      <w:r>
        <w:t>строительство и реконструкция, капитальный ремонт, ремонт и содержание дорог общего пользования местного значения – 3 649,3 млн рублей;</w:t>
      </w:r>
    </w:p>
    <w:p w14:paraId="DB030000">
      <w:pPr>
        <w:ind w:firstLine="709" w:left="0"/>
        <w:jc w:val="both"/>
      </w:pPr>
      <w:r>
        <w:t>строительство и реконструкция, капитальный ремонт и разработка проектной документации объектов водопроводно-канализационного хозяйства и  объектов водоснабжения – 2 152,0 млн рублей;</w:t>
      </w:r>
    </w:p>
    <w:p w14:paraId="DC030000">
      <w:pPr>
        <w:ind w:firstLine="709" w:left="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 2 358,9 млн рублей;</w:t>
      </w:r>
    </w:p>
    <w:p w14:paraId="DD030000">
      <w:pPr>
        <w:ind w:firstLine="709" w:left="0"/>
        <w:jc w:val="both"/>
      </w:pPr>
      <w:r>
        <w:t>строительство (реконструкция) образовательных организаций, разработка проектной документации на капитальный ремонт образовательных организаций, приобретение и установка модульных зданий для муниципальных образовательных организаций – 2 765,2 млн рублей;</w:t>
      </w:r>
    </w:p>
    <w:p w14:paraId="DE030000">
      <w:pPr>
        <w:ind w:firstLine="709" w:left="0"/>
        <w:jc w:val="both"/>
      </w:pPr>
      <w:r>
        <w:t>стимулирование программ жилищного строительства – 2 629,1 млн рублей;</w:t>
      </w:r>
    </w:p>
    <w:p w14:paraId="DF030000">
      <w:pPr>
        <w:ind w:firstLine="709" w:left="0"/>
        <w:jc w:val="both"/>
      </w:pPr>
      <w:r>
        <w:t>мероприятий по формированию современной городской среды в части благоустройства общественных территорий –161,1 млн рублей;</w:t>
      </w:r>
    </w:p>
    <w:p w14:paraId="E0030000">
      <w:pPr>
        <w:ind w:firstLine="709" w:left="0"/>
        <w:jc w:val="both"/>
      </w:pPr>
      <w:r>
        <w:t>приведение в нормативное состояние автомобильных дорог и искусственных сооружений – 1 905,1 млн рублей;</w:t>
      </w:r>
    </w:p>
    <w:p w14:paraId="E1030000">
      <w:pPr>
        <w:ind w:firstLine="709" w:left="0"/>
        <w:jc w:val="both"/>
      </w:pPr>
      <w:r>
        <w:t>переселение граждан из аварийного жилищного фонда – 966,8 млн рублей;</w:t>
      </w:r>
    </w:p>
    <w:p w14:paraId="E2030000">
      <w:pPr>
        <w:ind w:firstLine="709" w:left="0"/>
        <w:jc w:val="both"/>
      </w:pPr>
      <w:r>
        <w:t>строительство, реконструкция, капитальный ремонт и проектирование муниципальных объектов транспортной инфраструктуры – 937,3 млн рублей;</w:t>
      </w:r>
    </w:p>
    <w:p w14:paraId="E3030000">
      <w:pPr>
        <w:ind w:firstLine="709" w:left="0"/>
        <w:jc w:val="both"/>
      </w:pPr>
      <w:r>
        <w:t>мероприятия по модернизации школьных систем образования – 1 546,2 млн рублей;</w:t>
      </w:r>
    </w:p>
    <w:p w14:paraId="E4030000">
      <w:pPr>
        <w:ind w:firstLine="709" w:left="0"/>
        <w:jc w:val="both"/>
      </w:pPr>
      <w:r>
        <w:t>мероприятия по обеспечению деятельности советников директора по воспитанию и взаимодействию с детскими общественными объединениями – 279,6 млн рублей;</w:t>
      </w:r>
    </w:p>
    <w:p w14:paraId="E5030000">
      <w:pPr>
        <w:ind w:firstLine="709" w:left="0"/>
        <w:jc w:val="both"/>
      </w:pPr>
      <w:r>
        <w:t>организация отдыха детей в каникулярное время – 219,5 млн рублей;</w:t>
      </w:r>
    </w:p>
    <w:p w14:paraId="E6030000">
      <w:pPr>
        <w:ind w:firstLine="709" w:left="0"/>
        <w:jc w:val="both"/>
      </w:pPr>
      <w:r>
        <w:t>реализация мероприятий по обеспечению жильем молодых семей –                   124,2 млн рублей;</w:t>
      </w:r>
    </w:p>
    <w:p w14:paraId="E7030000">
      <w:pPr>
        <w:ind w:firstLine="709" w:left="0"/>
        <w:jc w:val="both"/>
      </w:pPr>
      <w:r>
        <w:t>государственная поддержка отрасли культуры и капитальный ремонт памятников и организаций культуры – 715,3 млн рублей;</w:t>
      </w:r>
    </w:p>
    <w:p w14:paraId="E8030000">
      <w:pPr>
        <w:ind w:firstLine="709" w:left="0"/>
        <w:jc w:val="both"/>
      </w:pPr>
      <w:r>
        <w:t xml:space="preserve">обеспечение комплексного развития сельских территорий (проектно-сметная документация, строительство и реконструкция объектов водоснабжения, строительство и реконструкция объектов газификации, обустройство объектами инженерной инфраструктуры, благоустройство площадок под компактную жилищную застройку) – 629,4 млн рублей; </w:t>
      </w:r>
    </w:p>
    <w:p w14:paraId="E9030000">
      <w:pPr>
        <w:ind w:firstLine="709" w:left="0"/>
        <w:jc w:val="both"/>
        <w:rPr>
          <w:color w:themeColor="text1" w:val="000000"/>
        </w:rPr>
      </w:pPr>
      <w:r>
        <w:rPr>
          <w:color w:themeColor="text1" w:val="000000"/>
        </w:rPr>
        <w:t xml:space="preserve">ряд других направлений, способствующих социально-экономическому развитию муниципальных образований области, в общей сумме </w:t>
      </w:r>
      <w:r>
        <w:rPr>
          <w:color w:themeColor="text1" w:val="000000"/>
        </w:rPr>
        <w:br/>
      </w:r>
      <w:r>
        <w:rPr>
          <w:color w:themeColor="text1" w:val="000000"/>
        </w:rPr>
        <w:t>2 566,7 млн рублей.</w:t>
      </w:r>
    </w:p>
    <w:p w14:paraId="EA030000">
      <w:pPr>
        <w:ind w:firstLine="709" w:left="0"/>
        <w:jc w:val="center"/>
        <w:rPr>
          <w:b w:val="1"/>
        </w:rPr>
      </w:pPr>
    </w:p>
    <w:p w14:paraId="EB030000">
      <w:pPr>
        <w:ind w:firstLine="709" w:left="0"/>
        <w:jc w:val="center"/>
        <w:rPr>
          <w:b w:val="1"/>
        </w:rPr>
      </w:pPr>
      <w:r>
        <w:rPr>
          <w:b w:val="1"/>
        </w:rPr>
        <w:t>Субвенции бюджетам муниципальных районов и городских округов</w:t>
      </w:r>
    </w:p>
    <w:p w14:paraId="EC030000">
      <w:pPr>
        <w:ind w:firstLine="709" w:left="0"/>
        <w:jc w:val="center"/>
        <w:rPr>
          <w:b w:val="1"/>
        </w:rPr>
      </w:pPr>
    </w:p>
    <w:p w14:paraId="ED030000">
      <w:pPr>
        <w:ind w:firstLine="709" w:left="0"/>
        <w:jc w:val="both"/>
      </w:pPr>
      <w:r>
        <w:t xml:space="preserve">Общий объем субвенций местным бюджетам на осуществление переданных органам местного самоуправления полномочий Российской Федерации и Ростовской области планируется на 2025 год в сумме 94 950,9 млн рублей, из них за счет средств федерального бюджета – 5 031,6 млн рублей. На 2026 и 2027 годы предусмотрены объемы субвенций соответственно 98 290,4 млн рублей и </w:t>
      </w:r>
      <w:r>
        <w:br/>
      </w:r>
      <w:r>
        <w:t>99 </w:t>
      </w:r>
      <w:r>
        <w:t>156,4</w:t>
      </w:r>
      <w:r>
        <w:t xml:space="preserve"> млн рублей, которые могут быть уточнены в следующие периоды, из них за счет средств федерального бюджета в 2026 году – 4 686,7 млн рублей.</w:t>
      </w:r>
    </w:p>
    <w:p w14:paraId="EE030000">
      <w:pPr>
        <w:ind w:firstLine="709" w:left="0"/>
        <w:jc w:val="both"/>
      </w:pPr>
      <w:r>
        <w:t xml:space="preserve">В 2025 году планируется предоставить местным бюджетам субвенции по 42 целевым направлениям. В их числе субвенции на предоставление мер социальной поддержки отдельным категориям граждан (инвалидам, ветеранам, труженикам тыла, реабилитированным лицам, детям-сиротам, семьям, имеющим детей, специалистам, работающим и проживающим в сельской местности и другим) и субвенции на </w:t>
      </w:r>
      <w:r>
        <w:t>осуществление переданных полномочий в области социальной политики, образования и полномочий на осуществление исполнительно-распорядительных функций.</w:t>
      </w:r>
    </w:p>
    <w:p w14:paraId="EF030000">
      <w:pPr>
        <w:ind w:firstLine="709" w:left="0"/>
        <w:jc w:val="both"/>
        <w:outlineLvl w:val="1"/>
      </w:pPr>
      <w:r>
        <w:t xml:space="preserve">В целях обеспечения комплексного подхода к распределению бюджетных средств, учета </w:t>
      </w:r>
      <w:r>
        <w:t>ресурсов местных бюджетов полномочия органов государственной власти</w:t>
      </w:r>
      <w:r>
        <w:t xml:space="preserve"> по расчету и предоставлению дотаций бюджетам городских и сельских поселений передаются муниципальным районам с соответствующим обеспечением за счет областных субвенций.</w:t>
      </w:r>
    </w:p>
    <w:p w14:paraId="F0030000">
      <w:pPr>
        <w:ind w:firstLine="709" w:left="0"/>
        <w:jc w:val="both"/>
      </w:pPr>
      <w:r>
        <w:t>Наибольший объем расходов областного бюджета в 2025 году будет направлен на реализацию переданных государственных полномочий за счет  субвенций по следующим направлениям:</w:t>
      </w:r>
    </w:p>
    <w:p w14:paraId="F1030000">
      <w:pPr>
        <w:ind w:firstLine="709" w:left="0"/>
        <w:jc w:val="both"/>
      </w:pPr>
      <w:r>
        <w:t>предоставление государственных гарантий  на получение общедоступного и бесплатного дошкольного образования,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                               51 579,1 млн рублей;</w:t>
      </w:r>
    </w:p>
    <w:p w14:paraId="F2030000">
      <w:pPr>
        <w:ind w:firstLine="709" w:left="0"/>
        <w:jc w:val="both"/>
      </w:pPr>
      <w:r>
        <w:t>социальное обслуживание граждан пожилого возраста –                                  7 991,8 млн рублей;</w:t>
      </w:r>
    </w:p>
    <w:p w14:paraId="F3030000">
      <w:pPr>
        <w:ind w:firstLine="709" w:left="0"/>
        <w:jc w:val="both"/>
      </w:pPr>
      <w:r>
        <w:t>предоставление льгот ветеранам труда и ветеранам труда Ростовской области – 6 511,1 млн рублей;</w:t>
      </w:r>
    </w:p>
    <w:p w14:paraId="F4030000">
      <w:pPr>
        <w:ind w:firstLine="709" w:left="0"/>
        <w:jc w:val="both"/>
      </w:pPr>
      <w:r>
        <w:t>расчет и предоставление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 – 3 275,3 млн рублей;</w:t>
      </w:r>
    </w:p>
    <w:p w14:paraId="F5030000">
      <w:pPr>
        <w:ind w:firstLine="709" w:left="0"/>
        <w:jc w:val="both"/>
      </w:pPr>
      <w:r>
        <w:t>социальная поддержка специалистов, работающих и проживающих в сельской местности – 3 020,6 млн рублей;</w:t>
      </w:r>
    </w:p>
    <w:p w14:paraId="F6030000">
      <w:pPr>
        <w:ind w:firstLine="709" w:left="0"/>
        <w:jc w:val="both"/>
      </w:pPr>
      <w:r>
        <w:t>оплата жилищно-коммунальных услуг отдельным категориям граждан (инвалиды, ветераны, граждане, подвергшиеся воздействию радиации) –                 2 848,5 млн рублей;</w:t>
      </w:r>
    </w:p>
    <w:p w14:paraId="F7030000">
      <w:pPr>
        <w:ind w:firstLine="709" w:left="0"/>
        <w:jc w:val="both"/>
      </w:pPr>
      <w:r>
        <w:t>субсидии на оплату жилых помещений и коммунальных услуг – 1 944,2 млн рублей;</w:t>
      </w:r>
    </w:p>
    <w:p w14:paraId="F8030000">
      <w:pPr>
        <w:ind w:firstLine="709" w:left="0"/>
        <w:jc w:val="both"/>
      </w:pPr>
      <w:r>
        <w:t>выплата пособия на ребенка – 1 451,2 млн рублей.</w:t>
      </w:r>
    </w:p>
    <w:p w14:paraId="F9030000">
      <w:pPr>
        <w:spacing w:line="228" w:lineRule="auto"/>
        <w:ind/>
        <w:jc w:val="center"/>
        <w:rPr>
          <w:b w:val="1"/>
        </w:rPr>
      </w:pPr>
    </w:p>
    <w:p w14:paraId="FA030000">
      <w:pPr>
        <w:spacing w:line="228" w:lineRule="auto"/>
        <w:ind/>
        <w:jc w:val="center"/>
        <w:rPr>
          <w:b w:val="1"/>
        </w:rPr>
      </w:pPr>
      <w:r>
        <w:rPr>
          <w:b w:val="1"/>
        </w:rPr>
        <w:t xml:space="preserve">Иные межбюджетные трансферты </w:t>
      </w:r>
    </w:p>
    <w:p w14:paraId="FB030000">
      <w:pPr>
        <w:spacing w:line="228" w:lineRule="auto"/>
        <w:ind/>
        <w:jc w:val="center"/>
        <w:rPr>
          <w:b w:val="1"/>
          <w:highlight w:val="yellow"/>
        </w:rPr>
      </w:pPr>
    </w:p>
    <w:p w14:paraId="FC030000">
      <w:pPr>
        <w:ind w:firstLine="709" w:left="0"/>
        <w:jc w:val="both"/>
      </w:pPr>
      <w:r>
        <w:t>Иные межбюджетные трансферты предусматриваются в виде целевых сре</w:t>
      </w:r>
      <w:r>
        <w:t>дств дл</w:t>
      </w:r>
      <w:r>
        <w:t>я финансового обеспечения отдельных направлений расходов местных бюджетов, которые не могут быть предоставлены через другие формы межбюджетных трансфертов.</w:t>
      </w:r>
    </w:p>
    <w:p w14:paraId="FD030000">
      <w:pPr>
        <w:ind w:firstLine="709" w:left="0"/>
        <w:jc w:val="both"/>
      </w:pPr>
      <w:r>
        <w:t>Общий объем иных межбюджетных трансферт</w:t>
      </w:r>
      <w:r>
        <w:t>ов на 2025 год составит  2 277,6</w:t>
      </w:r>
      <w:r>
        <w:t xml:space="preserve"> млн рублей, на 2026 год – 2 136,3 млн рублей, на 2027 год –                            2 136,3 млн рублей. </w:t>
      </w:r>
    </w:p>
    <w:p w14:paraId="FE030000">
      <w:pPr>
        <w:ind w:firstLine="709" w:left="0"/>
        <w:jc w:val="both"/>
      </w:pPr>
      <w:r>
        <w:t xml:space="preserve">На 2025 год планируются иные межбюджетные трансферты по следующим основным направлениям: </w:t>
      </w:r>
    </w:p>
    <w:p w14:paraId="FF030000">
      <w:pPr>
        <w:ind w:firstLine="709" w:left="0"/>
        <w:jc w:val="both"/>
      </w:pPr>
      <w:r>
        <w:t>поощрение органов местного самоуправления муниципальных районов и городских округов за развитие доходной базы, исходя из дополнительно поступивших в областной бюджет доходов от реализуемых на территориях муниципальных образований проектов, и с учетом достижения целей, показателей национальных, федеральных и региональных проектов – 150,0 млн рублей;</w:t>
      </w:r>
    </w:p>
    <w:p w14:paraId="00040000">
      <w:pPr>
        <w:ind w:firstLine="709" w:left="0"/>
        <w:jc w:val="both"/>
      </w:pPr>
      <w: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 472,4 млн рублей;</w:t>
      </w:r>
    </w:p>
    <w:p w14:paraId="01040000">
      <w:pPr>
        <w:ind w:firstLine="709" w:left="0"/>
        <w:jc w:val="both"/>
      </w:pPr>
      <w:r>
        <w:t>ежемесячное денежное вознаграждение за классное руководство педагогическим работникам муниципальных общеобразовательных организаций – 1 655,0 млн рублей;</w:t>
      </w:r>
    </w:p>
    <w:p w14:paraId="02040000">
      <w:pPr>
        <w:ind w:firstLine="709" w:left="0"/>
        <w:jc w:val="both"/>
      </w:pPr>
      <w:r>
        <w:t>возмещение расходов, связанных с обеспечением</w:t>
      </w:r>
      <w:r>
        <w:t xml:space="preserve"> депутатской деятельностью – 0,2</w:t>
      </w:r>
      <w:r>
        <w:t xml:space="preserve"> млн рублей.</w:t>
      </w:r>
    </w:p>
    <w:p w14:paraId="03040000">
      <w:pPr>
        <w:pStyle w:val="Style_4"/>
        <w:ind w:firstLine="0" w:left="0"/>
        <w:jc w:val="center"/>
        <w:rPr>
          <w:rFonts w:ascii="Times New Roman" w:hAnsi="Times New Roman"/>
          <w:b w:val="1"/>
          <w:sz w:val="32"/>
        </w:rPr>
      </w:pPr>
    </w:p>
    <w:p w14:paraId="04040000">
      <w:pPr>
        <w:pStyle w:val="Style_4"/>
        <w:ind w:firstLine="0" w:left="0"/>
        <w:jc w:val="center"/>
        <w:rPr>
          <w:rFonts w:ascii="Times New Roman" w:hAnsi="Times New Roman"/>
          <w:b w:val="1"/>
          <w:sz w:val="32"/>
        </w:rPr>
      </w:pPr>
      <w:r>
        <w:rPr>
          <w:rFonts w:ascii="Times New Roman" w:hAnsi="Times New Roman"/>
          <w:b w:val="1"/>
          <w:sz w:val="32"/>
        </w:rPr>
        <w:t>V. Дефицит (</w:t>
      </w:r>
      <w:r>
        <w:rPr>
          <w:rFonts w:ascii="Times New Roman" w:hAnsi="Times New Roman"/>
          <w:b w:val="1"/>
          <w:sz w:val="32"/>
        </w:rPr>
        <w:t>профицит</w:t>
      </w:r>
      <w:r>
        <w:rPr>
          <w:rFonts w:ascii="Times New Roman" w:hAnsi="Times New Roman"/>
          <w:b w:val="1"/>
          <w:sz w:val="32"/>
        </w:rPr>
        <w:t>) областного бюджета</w:t>
      </w:r>
    </w:p>
    <w:p w14:paraId="05040000">
      <w:pPr>
        <w:pStyle w:val="Style_4"/>
        <w:ind w:firstLine="0" w:left="0"/>
        <w:jc w:val="center"/>
        <w:rPr>
          <w:rFonts w:ascii="Times New Roman" w:hAnsi="Times New Roman"/>
          <w:b w:val="1"/>
          <w:sz w:val="32"/>
        </w:rPr>
      </w:pPr>
      <w:r>
        <w:rPr>
          <w:rFonts w:ascii="Times New Roman" w:hAnsi="Times New Roman"/>
          <w:b w:val="1"/>
          <w:sz w:val="32"/>
        </w:rPr>
        <w:t>и источники его финансирования</w:t>
      </w:r>
    </w:p>
    <w:p w14:paraId="06040000">
      <w:pPr>
        <w:ind w:firstLine="709" w:left="0"/>
        <w:jc w:val="center"/>
      </w:pPr>
    </w:p>
    <w:p w14:paraId="07040000">
      <w:pPr>
        <w:ind w:firstLine="709" w:left="0"/>
        <w:jc w:val="both"/>
      </w:pPr>
      <w:r>
        <w:t xml:space="preserve">К 1 чтению проекта областного бюджета прогнозируется </w:t>
      </w:r>
      <w:r>
        <w:t>профицит</w:t>
      </w:r>
      <w:r>
        <w:t xml:space="preserve"> на </w:t>
      </w:r>
      <w:r>
        <w:br/>
      </w:r>
      <w:r>
        <w:t xml:space="preserve">2025 год в объеме 8 741,0 млн рублей, на 2026 – 2027 годы в объеме 3 276,4 млн рублей и 3 328,4 млн рублей, соответственно. </w:t>
      </w:r>
    </w:p>
    <w:p w14:paraId="08040000">
      <w:pPr>
        <w:ind w:firstLine="709" w:left="0"/>
        <w:jc w:val="both"/>
      </w:pPr>
    </w:p>
    <w:p w14:paraId="09040000">
      <w:pPr>
        <w:ind w:firstLine="0" w:left="283" w:right="15"/>
        <w:jc w:val="right"/>
      </w:pPr>
      <w:r>
        <w:t>млн рублей</w:t>
      </w:r>
    </w:p>
    <w:tbl>
      <w:tblPr>
        <w:tblStyle w:val="Style_5"/>
        <w:tblInd w:type="dxa" w:w="113"/>
        <w:tblLayout w:type="fixed"/>
      </w:tblPr>
      <w:tblGrid>
        <w:gridCol w:w="2777"/>
        <w:gridCol w:w="2247"/>
        <w:gridCol w:w="2387"/>
        <w:gridCol w:w="2388"/>
      </w:tblGrid>
      <w:tr>
        <w:trPr>
          <w:trHeight w:hRule="atLeast" w:val="394"/>
        </w:trPr>
        <w:tc>
          <w:tcPr>
            <w:tcW w:type="dxa" w:w="2777"/>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A040000">
            <w:pPr>
              <w:ind/>
              <w:jc w:val="center"/>
              <w:rPr>
                <w:b w:val="1"/>
              </w:rPr>
            </w:pPr>
            <w:r>
              <w:rPr>
                <w:b w:val="1"/>
              </w:rPr>
              <w:t>Показатель</w:t>
            </w:r>
          </w:p>
        </w:tc>
        <w:tc>
          <w:tcPr>
            <w:tcW w:type="dxa" w:w="7022"/>
            <w:gridSpan w:val="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B040000">
            <w:pPr>
              <w:ind/>
              <w:jc w:val="center"/>
              <w:rPr>
                <w:b w:val="1"/>
              </w:rPr>
            </w:pPr>
            <w:r>
              <w:rPr>
                <w:b w:val="1"/>
              </w:rPr>
              <w:t>Проект</w:t>
            </w:r>
          </w:p>
        </w:tc>
      </w:tr>
      <w:tr>
        <w:trPr>
          <w:trHeight w:hRule="atLeast" w:val="394"/>
        </w:trPr>
        <w:tc>
          <w:tcPr>
            <w:tcW w:type="dxa" w:w="2777"/>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C040000">
            <w:pPr>
              <w:ind/>
              <w:jc w:val="center"/>
              <w:rPr>
                <w:b w:val="1"/>
              </w:rPr>
            </w:pPr>
            <w:r>
              <w:rPr>
                <w:b w:val="1"/>
              </w:rPr>
              <w:t>2025 год</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D040000">
            <w:pPr>
              <w:ind/>
              <w:jc w:val="center"/>
              <w:rPr>
                <w:b w:val="1"/>
              </w:rPr>
            </w:pPr>
            <w:r>
              <w:rPr>
                <w:b w:val="1"/>
              </w:rPr>
              <w:t>2026 год</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E040000">
            <w:pPr>
              <w:ind/>
              <w:jc w:val="center"/>
              <w:rPr>
                <w:b w:val="1"/>
              </w:rPr>
            </w:pPr>
            <w:r>
              <w:rPr>
                <w:b w:val="1"/>
              </w:rPr>
              <w:t>2027 год</w:t>
            </w:r>
          </w:p>
        </w:tc>
      </w:tr>
      <w:tr>
        <w:trPr>
          <w:trHeight w:hRule="atLeast" w:val="834"/>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0F040000">
            <w:r>
              <w:t>Источники финансирования дефицита, всего</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0040000">
            <w:pPr>
              <w:ind/>
              <w:jc w:val="center"/>
            </w:pPr>
            <w:r>
              <w:t>– 8 741,0</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1040000">
            <w:pPr>
              <w:ind w:firstLine="108" w:left="-108"/>
              <w:jc w:val="center"/>
            </w:pPr>
            <w:r>
              <w:t>– 3 276,4</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2040000">
            <w:pPr>
              <w:ind/>
              <w:jc w:val="center"/>
            </w:pPr>
            <w:r>
              <w:t>– 3 328,4</w:t>
            </w:r>
          </w:p>
        </w:tc>
      </w:tr>
      <w:tr>
        <w:trPr>
          <w:trHeight w:hRule="atLeast" w:val="292"/>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3040000">
            <w:pPr>
              <w:rPr>
                <w:i w:val="1"/>
              </w:rPr>
            </w:pPr>
            <w:r>
              <w:rPr>
                <w:i w:val="1"/>
              </w:rPr>
              <w:t>% к доходам без учета безвозмездных поступлений</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4040000">
            <w:pPr>
              <w:ind/>
              <w:jc w:val="center"/>
              <w:rPr>
                <w:i w:val="1"/>
              </w:rPr>
            </w:pPr>
            <w:r>
              <w:rPr>
                <w:i w:val="1"/>
              </w:rPr>
              <w:t>–</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5040000">
            <w:pPr>
              <w:ind/>
              <w:jc w:val="center"/>
              <w:rPr>
                <w:i w:val="1"/>
              </w:rPr>
            </w:pPr>
            <w:r>
              <w:rPr>
                <w:i w:val="1"/>
              </w:rPr>
              <w:t>–</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6040000">
            <w:pPr>
              <w:ind/>
              <w:jc w:val="center"/>
              <w:rPr>
                <w:i w:val="1"/>
              </w:rPr>
            </w:pPr>
            <w:r>
              <w:rPr>
                <w:i w:val="1"/>
              </w:rPr>
              <w:t>–</w:t>
            </w:r>
          </w:p>
        </w:tc>
      </w:tr>
      <w:tr>
        <w:trPr>
          <w:trHeight w:hRule="atLeast" w:val="398"/>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7040000">
            <w:pPr>
              <w:rPr>
                <w:i w:val="1"/>
              </w:rPr>
            </w:pPr>
            <w:r>
              <w:rPr>
                <w:i w:val="1"/>
              </w:rPr>
              <w:t>в том числе:</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8040000">
            <w:pPr>
              <w:ind/>
              <w:jc w:val="center"/>
            </w:pP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9040000">
            <w:pPr>
              <w:ind/>
              <w:jc w:val="center"/>
            </w:pP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A040000">
            <w:pPr>
              <w:ind/>
              <w:jc w:val="center"/>
            </w:pPr>
          </w:p>
        </w:tc>
      </w:tr>
      <w:tr>
        <w:trPr>
          <w:trHeight w:hRule="atLeast" w:val="652"/>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B040000">
            <w:r>
              <w:t xml:space="preserve">Кредиты кредитных организаций </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C040000">
            <w:pPr>
              <w:ind/>
              <w:jc w:val="center"/>
            </w:pPr>
            <w:r>
              <w:t>– 6 400,0</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D040000">
            <w:pPr>
              <w:ind/>
              <w:jc w:val="center"/>
            </w:pPr>
            <w:r>
              <w:rPr>
                <w:i w:val="1"/>
              </w:rPr>
              <w:t>–</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E040000">
            <w:pPr>
              <w:ind/>
              <w:jc w:val="center"/>
            </w:pPr>
            <w:r>
              <w:rPr>
                <w:i w:val="1"/>
              </w:rPr>
              <w:t>–</w:t>
            </w:r>
          </w:p>
        </w:tc>
      </w:tr>
      <w:tr>
        <w:trPr>
          <w:trHeight w:hRule="atLeast" w:val="411"/>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1F040000">
            <w:r>
              <w:t xml:space="preserve">Бюджетные кредиты </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0040000">
            <w:pPr>
              <w:ind/>
              <w:jc w:val="center"/>
            </w:pPr>
            <w:r>
              <w:t>– 2 786,5</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1040000">
            <w:pPr>
              <w:ind/>
              <w:jc w:val="center"/>
            </w:pPr>
            <w:r>
              <w:t>– 3 721,9</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2040000">
            <w:pPr>
              <w:ind/>
              <w:jc w:val="center"/>
            </w:pPr>
            <w:r>
              <w:t>– 3 773,9</w:t>
            </w:r>
          </w:p>
        </w:tc>
      </w:tr>
      <w:tr>
        <w:trPr>
          <w:trHeight w:hRule="atLeast" w:val="430"/>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3040000">
            <w:r>
              <w:t>Иные источники</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4040000">
            <w:pPr>
              <w:ind/>
              <w:jc w:val="center"/>
            </w:pPr>
            <w:r>
              <w:t>445,5</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5040000">
            <w:pPr>
              <w:ind/>
              <w:jc w:val="center"/>
            </w:pPr>
            <w:r>
              <w:t>445,5</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6040000">
            <w:pPr>
              <w:ind/>
              <w:jc w:val="center"/>
            </w:pPr>
            <w:r>
              <w:t>445,5</w:t>
            </w:r>
          </w:p>
        </w:tc>
      </w:tr>
      <w:tr>
        <w:trPr>
          <w:trHeight w:hRule="atLeast" w:val="430"/>
        </w:trPr>
        <w:tc>
          <w:tcPr>
            <w:tcW w:type="dxa" w:w="277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7040000">
            <w:r>
              <w:t>Остатки средств</w:t>
            </w:r>
          </w:p>
        </w:tc>
        <w:tc>
          <w:tcPr>
            <w:tcW w:type="dxa" w:w="224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8040000">
            <w:pPr>
              <w:ind/>
              <w:jc w:val="center"/>
            </w:pPr>
            <w:r>
              <w:rPr>
                <w:i w:val="1"/>
              </w:rPr>
              <w:t>–</w:t>
            </w:r>
          </w:p>
        </w:tc>
        <w:tc>
          <w:tcPr>
            <w:tcW w:type="dxa" w:w="2387"/>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9040000">
            <w:pPr>
              <w:ind/>
              <w:jc w:val="center"/>
            </w:pPr>
            <w:r>
              <w:rPr>
                <w:i w:val="1"/>
              </w:rPr>
              <w:t>–</w:t>
            </w:r>
          </w:p>
        </w:tc>
        <w:tc>
          <w:tcPr>
            <w:tcW w:type="dxa" w:w="2388"/>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2A040000">
            <w:pPr>
              <w:ind/>
              <w:jc w:val="center"/>
            </w:pPr>
            <w:r>
              <w:rPr>
                <w:i w:val="1"/>
              </w:rPr>
              <w:t>–</w:t>
            </w:r>
          </w:p>
        </w:tc>
      </w:tr>
    </w:tbl>
    <w:p w14:paraId="2B040000">
      <w:pPr>
        <w:ind w:firstLine="709" w:left="0"/>
        <w:jc w:val="both"/>
      </w:pPr>
    </w:p>
    <w:p w14:paraId="2C040000">
      <w:pPr>
        <w:spacing w:line="228" w:lineRule="auto"/>
        <w:ind w:firstLine="709" w:left="0"/>
        <w:jc w:val="both"/>
      </w:pPr>
      <w:r>
        <w:t>Осуществление заимствований в кредитных организациях в 2025 году и плановом периоде 2026 и 2027 годов не предусмотрено.</w:t>
      </w:r>
    </w:p>
    <w:p w14:paraId="2D040000">
      <w:pPr>
        <w:spacing w:line="228" w:lineRule="auto"/>
        <w:ind w:firstLine="709" w:left="0"/>
        <w:jc w:val="both"/>
      </w:pPr>
      <w:r>
        <w:t xml:space="preserve">Планируемый объем привлечения бюджетных кредитов составит в </w:t>
      </w:r>
      <w:r>
        <w:br/>
      </w:r>
      <w:r>
        <w:t>2025 году – 8 872,0 млн рублей, в том числе:</w:t>
      </w:r>
    </w:p>
    <w:p w14:paraId="2E040000">
      <w:pPr>
        <w:spacing w:line="228" w:lineRule="auto"/>
        <w:ind w:firstLine="709" w:left="0"/>
        <w:jc w:val="both"/>
      </w:pPr>
      <w:r>
        <w:t>на пополнение остатка средств на едином счете бюджета в Управлении Федерального казначейства по Ростовской области – 8 144,4 млн рублей;</w:t>
      </w:r>
    </w:p>
    <w:p w14:paraId="2F040000">
      <w:pPr>
        <w:spacing w:line="228" w:lineRule="auto"/>
        <w:ind w:firstLine="709" w:left="0"/>
        <w:jc w:val="both"/>
      </w:pPr>
      <w:r>
        <w:t xml:space="preserve">на финансовое обеспечение реализации инфраструктурных проектов – 727,6 млн рублей. </w:t>
      </w:r>
    </w:p>
    <w:p w14:paraId="30040000">
      <w:pPr>
        <w:spacing w:line="228" w:lineRule="auto"/>
        <w:ind w:firstLine="709" w:left="0"/>
        <w:jc w:val="both"/>
      </w:pPr>
      <w:r>
        <w:t>Одновременно в 2025 году на исполнение долговых обязательств запланированы бюджетные ассигнования в размере 11 658,4 млн рублей, в том числе:</w:t>
      </w:r>
    </w:p>
    <w:p w14:paraId="31040000">
      <w:pPr>
        <w:spacing w:line="228" w:lineRule="auto"/>
        <w:ind w:firstLine="709" w:left="0"/>
        <w:jc w:val="both"/>
      </w:pPr>
      <w:r>
        <w:t>по инфраструктурным бюджетным кредитам – 1 584,6 млн рублей;</w:t>
      </w:r>
    </w:p>
    <w:p w14:paraId="32040000">
      <w:pPr>
        <w:spacing w:line="228" w:lineRule="auto"/>
        <w:ind w:firstLine="709" w:left="0"/>
        <w:jc w:val="both"/>
      </w:pPr>
      <w:r>
        <w:t>по специальным казначейским кредитам – 405,7 млн рублей;</w:t>
      </w:r>
    </w:p>
    <w:p w14:paraId="33040000">
      <w:pPr>
        <w:spacing w:line="228" w:lineRule="auto"/>
        <w:ind w:firstLine="709" w:left="0"/>
        <w:jc w:val="both"/>
      </w:pPr>
      <w:r>
        <w:t>по бюджетным кредитам на пополнение остатка средств на едином счете бюджета, полученным в Управлении Федерального казначейства по Ростовской области в сумме 8 144,4 млн рублей;</w:t>
      </w:r>
    </w:p>
    <w:p w14:paraId="34040000">
      <w:pPr>
        <w:spacing w:line="228" w:lineRule="auto"/>
        <w:ind w:firstLine="709" w:left="0"/>
        <w:jc w:val="both"/>
      </w:pPr>
      <w:r>
        <w:t xml:space="preserve">по бюджетным кредитам, полученным из федерального бюджета для строительства, реконструкции, капитального ремонта, ремонта и </w:t>
      </w:r>
      <w:r>
        <w:t>содержания</w:t>
      </w:r>
      <w:r>
        <w:t xml:space="preserve"> автомобильных дорог общего пользования – 305,6 млн рублей;</w:t>
      </w:r>
    </w:p>
    <w:p w14:paraId="35040000">
      <w:pPr>
        <w:spacing w:line="228" w:lineRule="auto"/>
        <w:ind w:firstLine="709" w:left="0"/>
        <w:jc w:val="both"/>
      </w:pPr>
      <w:r>
        <w:t>по бюджетным кредитам, полученным для погашения долговых обязательств субъекта Российской Федерации (муниципального образования) по рыночным заимствованиям – 1 218,1 млн рублей.</w:t>
      </w:r>
    </w:p>
    <w:p w14:paraId="36040000">
      <w:pPr>
        <w:spacing w:line="228" w:lineRule="auto"/>
        <w:ind w:firstLine="709" w:left="0"/>
        <w:jc w:val="both"/>
      </w:pPr>
      <w:r>
        <w:t xml:space="preserve">В первом году планового периода запланировано исполнение долговых обязательств по </w:t>
      </w:r>
      <w:r>
        <w:t>бюджетным</w:t>
      </w:r>
      <w:r>
        <w:t xml:space="preserve"> кредитным в размере 3 721,9 млн рублей, в том числе:</w:t>
      </w:r>
    </w:p>
    <w:p w14:paraId="37040000">
      <w:pPr>
        <w:spacing w:line="228" w:lineRule="auto"/>
        <w:ind w:firstLine="709" w:left="0"/>
        <w:jc w:val="both"/>
      </w:pPr>
      <w:r>
        <w:t>по бюджетным кредитам, полученным на реализацию инфраструктурных проектов – 1 792,5 млн рублей;</w:t>
      </w:r>
    </w:p>
    <w:p w14:paraId="38040000">
      <w:pPr>
        <w:spacing w:line="228" w:lineRule="auto"/>
        <w:ind w:firstLine="709" w:left="0"/>
        <w:jc w:val="both"/>
      </w:pPr>
      <w:r>
        <w:t>по специальным казначейским кредитам – 405,7 млн рублей;</w:t>
      </w:r>
    </w:p>
    <w:p w14:paraId="39040000">
      <w:pPr>
        <w:spacing w:line="228" w:lineRule="auto"/>
        <w:ind w:firstLine="709" w:left="0"/>
        <w:jc w:val="both"/>
      </w:pPr>
      <w:r>
        <w:t xml:space="preserve">по бюджетным кредитам, полученным из федерального бюджета для строительства, реконструкции, капитального ремонта, ремонта и </w:t>
      </w:r>
      <w:r>
        <w:t>содержания</w:t>
      </w:r>
      <w:r>
        <w:t xml:space="preserve"> автомобильных дорог общего пользования – 305,6 млн рублей;</w:t>
      </w:r>
    </w:p>
    <w:p w14:paraId="3A040000">
      <w:pPr>
        <w:spacing w:line="228" w:lineRule="auto"/>
        <w:ind w:firstLine="709" w:left="0"/>
        <w:jc w:val="both"/>
      </w:pPr>
      <w:r>
        <w:t>по бюджетным кредитам, полученным для погашения долговых обязательств субъекта Российской Федерации (муниципального образования) по рыночным заимствованиям – 1 218,1 млн рублей.</w:t>
      </w:r>
    </w:p>
    <w:p w14:paraId="3B040000">
      <w:pPr>
        <w:spacing w:line="228" w:lineRule="auto"/>
        <w:ind w:firstLine="709" w:left="0"/>
        <w:jc w:val="both"/>
      </w:pPr>
      <w:r>
        <w:t>В 2027 году запланировано исполнение долговых обязательств по бюджетным кредитам перед федеральным бюджетом в общей сумме 3 773,8 млн рублей, в том числе:</w:t>
      </w:r>
    </w:p>
    <w:p w14:paraId="3C040000">
      <w:pPr>
        <w:spacing w:line="228" w:lineRule="auto"/>
        <w:ind w:firstLine="709" w:left="0"/>
        <w:jc w:val="both"/>
      </w:pPr>
      <w:r>
        <w:t>по бюджетным кредитам, полученным на реализацию инфраструктурных проектов – 1 844,4 млн рублей;</w:t>
      </w:r>
    </w:p>
    <w:p w14:paraId="3D040000">
      <w:pPr>
        <w:spacing w:line="228" w:lineRule="auto"/>
        <w:ind w:firstLine="709" w:left="0"/>
        <w:jc w:val="both"/>
      </w:pPr>
      <w:r>
        <w:t>по специальным казначейским кредитам – 405,7 млн рублей;</w:t>
      </w:r>
    </w:p>
    <w:p w14:paraId="3E040000">
      <w:pPr>
        <w:spacing w:line="228" w:lineRule="auto"/>
        <w:ind w:firstLine="709" w:left="0"/>
        <w:jc w:val="both"/>
      </w:pPr>
      <w:r>
        <w:t xml:space="preserve">по бюджетным кредитам, полученным из федерального бюджета для строительства, реконструкции, капитального ремонта, ремонта и </w:t>
      </w:r>
      <w:r>
        <w:t>содержания</w:t>
      </w:r>
      <w:r>
        <w:t xml:space="preserve"> автомобильных дорог общего пользования – 305,6 млн рублей;</w:t>
      </w:r>
    </w:p>
    <w:p w14:paraId="3F040000">
      <w:pPr>
        <w:spacing w:line="228" w:lineRule="auto"/>
        <w:ind w:firstLine="709" w:left="0"/>
        <w:jc w:val="both"/>
      </w:pPr>
      <w:r>
        <w:t>по бюджетным кредитам, полученным для погашения долговых обязательств субъекта Российской Федерации (муниципального образования) по рыночным заимствованиям – 1 218,1 млн рублей.</w:t>
      </w:r>
    </w:p>
    <w:p w14:paraId="40040000">
      <w:pPr>
        <w:ind w:firstLine="709" w:left="0"/>
        <w:jc w:val="both"/>
      </w:pPr>
      <w:r>
        <w:t>Также в составе источников финансирования дефицита областного бюджета на 2025 – 2027 годы запланировано предоставление бюджетных кредитов муниципальным образованиям области на покрытие временных кассовых разрывов, возникающих при исполнении местных бюджетов, с возвратом в пределах года по 300,0 млн рублей ежегодно под 0,1 процента годовых, а также возврат от муниципальных образований бюджетных кредитов, предоставленных на срок свыше года, в 2025 – 2027 годах</w:t>
      </w:r>
      <w:r>
        <w:t xml:space="preserve"> по 445,5 млн рублей ежегодно</w:t>
      </w:r>
      <w:r>
        <w:rPr>
          <w:rFonts w:ascii="sans-serif" w:hAnsi="sans-serif"/>
          <w:sz w:val="29"/>
        </w:rPr>
        <w:t>.</w:t>
      </w:r>
    </w:p>
    <w:p w14:paraId="41040000">
      <w:pPr>
        <w:widowControl w:val="0"/>
        <w:spacing w:line="228" w:lineRule="auto"/>
        <w:ind/>
        <w:jc w:val="center"/>
        <w:rPr>
          <w:b w:val="1"/>
          <w:sz w:val="32"/>
        </w:rPr>
      </w:pPr>
    </w:p>
    <w:p w14:paraId="42040000">
      <w:pPr>
        <w:widowControl w:val="0"/>
        <w:spacing w:line="228" w:lineRule="auto"/>
        <w:ind/>
        <w:jc w:val="center"/>
        <w:rPr>
          <w:b w:val="1"/>
          <w:sz w:val="32"/>
        </w:rPr>
      </w:pPr>
      <w:r>
        <w:rPr>
          <w:b w:val="1"/>
          <w:sz w:val="32"/>
        </w:rPr>
        <w:t>VI. Государственный долг Ростовской области</w:t>
      </w:r>
    </w:p>
    <w:p w14:paraId="43040000">
      <w:pPr>
        <w:widowControl w:val="0"/>
        <w:spacing w:line="228" w:lineRule="auto"/>
        <w:ind/>
        <w:jc w:val="center"/>
        <w:rPr>
          <w:b w:val="1"/>
        </w:rPr>
      </w:pPr>
    </w:p>
    <w:p w14:paraId="44040000">
      <w:pPr>
        <w:widowControl w:val="0"/>
        <w:spacing w:line="228" w:lineRule="auto"/>
        <w:ind w:firstLine="709" w:left="0"/>
        <w:jc w:val="both"/>
      </w:pPr>
      <w:r>
        <w:t>В 2025 – 2027 годах будет продолжена ответственная долговая политика, направленная на обеспечение экономически безопасного уровня государственного долга Ростовской области.</w:t>
      </w:r>
    </w:p>
    <w:p w14:paraId="45040000">
      <w:pPr>
        <w:spacing w:line="228" w:lineRule="auto"/>
        <w:ind w:firstLine="709" w:left="0"/>
        <w:jc w:val="both"/>
      </w:pPr>
      <w:r>
        <w:t>В процессе реализации долговой политики Ростовской области в трехлетнем периоде</w:t>
      </w:r>
      <w:r>
        <w:rPr>
          <w:color w:val="FF0000"/>
        </w:rPr>
        <w:t xml:space="preserve"> </w:t>
      </w:r>
      <w:r>
        <w:t>будет обеспечена сбалансированность бюджета, своевременность исполнения долговых обязательств и минимизация расходов на обслуживание государственного долга.</w:t>
      </w:r>
    </w:p>
    <w:p w14:paraId="46040000">
      <w:pPr>
        <w:spacing w:line="228" w:lineRule="auto"/>
        <w:ind w:firstLine="709" w:left="0"/>
        <w:jc w:val="both"/>
      </w:pPr>
      <w:r>
        <w:t xml:space="preserve">По итогам 2025 года в структуре государственного долг Ростовской области будут представлены только бюджетные </w:t>
      </w:r>
      <w:r>
        <w:t>кредиты</w:t>
      </w:r>
      <w:r>
        <w:t xml:space="preserve"> полученные из федерального бюджета. Наличие </w:t>
      </w:r>
      <w:r>
        <w:t>рыночных</w:t>
      </w:r>
      <w:r>
        <w:t xml:space="preserve"> долговых долговые обязательства не планируется</w:t>
      </w:r>
      <w:r>
        <w:t>.</w:t>
      </w:r>
    </w:p>
    <w:p w14:paraId="47040000">
      <w:pPr>
        <w:widowControl w:val="0"/>
        <w:ind w:firstLine="709" w:left="0"/>
        <w:jc w:val="right"/>
        <w:rPr>
          <w:i w:val="1"/>
        </w:rPr>
      </w:pPr>
    </w:p>
    <w:p w14:paraId="48040000">
      <w:pPr>
        <w:widowControl w:val="0"/>
        <w:ind/>
        <w:jc w:val="center"/>
        <w:rPr>
          <w:i w:val="1"/>
        </w:rPr>
      </w:pPr>
      <w:r>
        <w:t xml:space="preserve">                                                                                                           </w:t>
      </w:r>
      <w:r>
        <w:t>млн рублей</w:t>
      </w:r>
    </w:p>
    <w:tbl>
      <w:tblPr>
        <w:tblStyle w:val="Style_5"/>
        <w:tblInd w:type="dxa" w:w="113"/>
        <w:tblLayout w:type="fixed"/>
      </w:tblPr>
      <w:tblGrid>
        <w:gridCol w:w="3619"/>
        <w:gridCol w:w="2351"/>
        <w:gridCol w:w="1883"/>
        <w:gridCol w:w="1883"/>
      </w:tblGrid>
      <w:tr>
        <w:trPr>
          <w:trHeight w:hRule="atLeast" w:val="394"/>
        </w:trPr>
        <w:tc>
          <w:tcPr>
            <w:tcW w:type="dxa" w:w="3619"/>
            <w:vMerge w:val="restart"/>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9040000">
            <w:pPr>
              <w:ind/>
              <w:jc w:val="center"/>
              <w:rPr>
                <w:b w:val="1"/>
              </w:rPr>
            </w:pPr>
            <w:r>
              <w:rPr>
                <w:b w:val="1"/>
              </w:rPr>
              <w:t>Показатель</w:t>
            </w:r>
          </w:p>
        </w:tc>
        <w:tc>
          <w:tcPr>
            <w:tcW w:type="dxa" w:w="6117"/>
            <w:gridSpan w:val="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A040000">
            <w:pPr>
              <w:ind/>
              <w:jc w:val="center"/>
              <w:rPr>
                <w:b w:val="1"/>
              </w:rPr>
            </w:pPr>
            <w:r>
              <w:rPr>
                <w:b w:val="1"/>
              </w:rPr>
              <w:t>Проект</w:t>
            </w:r>
          </w:p>
        </w:tc>
      </w:tr>
      <w:tr>
        <w:trPr>
          <w:trHeight w:hRule="atLeast" w:val="394"/>
        </w:trPr>
        <w:tc>
          <w:tcPr>
            <w:tcW w:type="dxa" w:w="3619"/>
            <w:gridSpan w:val="1"/>
            <w:vMerge w:val="continue"/>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B040000">
            <w:pPr>
              <w:ind/>
              <w:jc w:val="center"/>
              <w:rPr>
                <w:b w:val="1"/>
              </w:rPr>
            </w:pPr>
            <w:r>
              <w:rPr>
                <w:b w:val="1"/>
              </w:rPr>
              <w:t>2025 год</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C040000">
            <w:pPr>
              <w:ind/>
              <w:jc w:val="center"/>
              <w:rPr>
                <w:b w:val="1"/>
              </w:rPr>
            </w:pPr>
            <w:r>
              <w:rPr>
                <w:b w:val="1"/>
              </w:rPr>
              <w:t>2026 год</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D040000">
            <w:pPr>
              <w:ind/>
              <w:jc w:val="center"/>
              <w:rPr>
                <w:b w:val="1"/>
              </w:rPr>
            </w:pPr>
            <w:r>
              <w:rPr>
                <w:b w:val="1"/>
              </w:rPr>
              <w:t>2027 год</w:t>
            </w:r>
          </w:p>
        </w:tc>
      </w:tr>
      <w:tr>
        <w:trPr>
          <w:trHeight w:hRule="atLeast" w:val="834"/>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E040000">
            <w:r>
              <w:t>Объем государственного долга Ростовской области*, всего</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4F040000">
            <w:pPr>
              <w:ind/>
              <w:jc w:val="center"/>
            </w:pPr>
            <w:r>
              <w:t>35 486,3</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0040000">
            <w:pPr>
              <w:ind/>
              <w:jc w:val="center"/>
            </w:pPr>
            <w:r>
              <w:t>31 764,4</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1040000">
            <w:pPr>
              <w:ind/>
              <w:jc w:val="center"/>
            </w:pPr>
            <w:r>
              <w:t>27 990,5</w:t>
            </w:r>
          </w:p>
        </w:tc>
      </w:tr>
      <w:tr>
        <w:trPr>
          <w:trHeight w:hRule="atLeast" w:val="455"/>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2040000">
            <w:pPr>
              <w:rPr>
                <w:i w:val="1"/>
              </w:rPr>
            </w:pPr>
            <w:r>
              <w:rPr>
                <w:i w:val="1"/>
              </w:rPr>
              <w:t>%  к собственным доходам без учета безвозмездных поступлений</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3040000">
            <w:pPr>
              <w:ind/>
              <w:jc w:val="center"/>
              <w:rPr>
                <w:i w:val="1"/>
              </w:rPr>
            </w:pPr>
            <w:r>
              <w:rPr>
                <w:i w:val="1"/>
              </w:rPr>
              <w:t>12,3</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4040000">
            <w:pPr>
              <w:ind/>
              <w:jc w:val="center"/>
              <w:rPr>
                <w:i w:val="1"/>
              </w:rPr>
            </w:pPr>
            <w:r>
              <w:rPr>
                <w:i w:val="1"/>
              </w:rPr>
              <w:t>10,5</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5040000">
            <w:pPr>
              <w:ind/>
              <w:jc w:val="center"/>
              <w:rPr>
                <w:i w:val="1"/>
              </w:rPr>
            </w:pPr>
            <w:r>
              <w:rPr>
                <w:i w:val="1"/>
              </w:rPr>
              <w:t>8,7</w:t>
            </w:r>
          </w:p>
        </w:tc>
      </w:tr>
      <w:tr>
        <w:trPr>
          <w:trHeight w:hRule="atLeast" w:val="398"/>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6040000">
            <w:pPr>
              <w:rPr>
                <w:i w:val="1"/>
              </w:rPr>
            </w:pPr>
            <w:r>
              <w:rPr>
                <w:i w:val="1"/>
              </w:rPr>
              <w:t>в том числе:</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7040000">
            <w:pPr>
              <w:ind/>
              <w:jc w:val="center"/>
            </w:pP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8040000">
            <w:pPr>
              <w:ind/>
              <w:jc w:val="center"/>
            </w:pP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9040000">
            <w:pPr>
              <w:ind/>
              <w:jc w:val="center"/>
            </w:pPr>
          </w:p>
        </w:tc>
      </w:tr>
      <w:tr>
        <w:trPr>
          <w:trHeight w:hRule="atLeast" w:val="652"/>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A040000">
            <w:r>
              <w:t>Обязательства по кредитам кредитных организаций</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B040000">
            <w:pPr>
              <w:ind/>
              <w:jc w:val="center"/>
            </w:pPr>
            <w:r>
              <w:t>–</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C040000">
            <w:pPr>
              <w:ind/>
              <w:jc w:val="center"/>
            </w:pPr>
            <w:r>
              <w:t>–</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D040000">
            <w:pPr>
              <w:ind/>
              <w:jc w:val="center"/>
            </w:pPr>
            <w:r>
              <w:t>–</w:t>
            </w:r>
          </w:p>
        </w:tc>
      </w:tr>
      <w:tr>
        <w:trPr>
          <w:trHeight w:hRule="atLeast" w:val="411"/>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E040000">
            <w:r>
              <w:t>Обязательства по бюджетным кредитам</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5F040000">
            <w:pPr>
              <w:ind/>
              <w:jc w:val="center"/>
            </w:pPr>
            <w:r>
              <w:t>35 486,3</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0040000">
            <w:pPr>
              <w:ind/>
              <w:jc w:val="center"/>
            </w:pPr>
            <w:r>
              <w:t>31 764,4</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1040000">
            <w:pPr>
              <w:ind/>
              <w:jc w:val="center"/>
            </w:pPr>
            <w:r>
              <w:t>27 990,5</w:t>
            </w:r>
          </w:p>
        </w:tc>
      </w:tr>
      <w:tr>
        <w:trPr>
          <w:trHeight w:hRule="atLeast" w:val="624"/>
        </w:trPr>
        <w:tc>
          <w:tcPr>
            <w:tcW w:type="dxa" w:w="361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2040000">
            <w:r>
              <w:t>Обязательства по государственным гарантиям Ростовской области</w:t>
            </w:r>
          </w:p>
        </w:tc>
        <w:tc>
          <w:tcPr>
            <w:tcW w:type="dxa" w:w="2351"/>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3040000">
            <w:pPr>
              <w:ind/>
              <w:jc w:val="center"/>
            </w:pPr>
            <w:r>
              <w:t>–</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4040000">
            <w:pPr>
              <w:ind/>
              <w:jc w:val="center"/>
            </w:pPr>
            <w:r>
              <w:t>–</w:t>
            </w:r>
          </w:p>
        </w:tc>
        <w:tc>
          <w:tcPr>
            <w:tcW w:type="dxa" w:w="1883"/>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65040000">
            <w:pPr>
              <w:ind/>
              <w:jc w:val="center"/>
            </w:pPr>
            <w:r>
              <w:t>–</w:t>
            </w:r>
          </w:p>
        </w:tc>
      </w:tr>
    </w:tbl>
    <w:p w14:paraId="66040000">
      <w:pPr>
        <w:widowControl w:val="0"/>
        <w:spacing w:line="360" w:lineRule="auto"/>
        <w:ind w:firstLine="567" w:left="0"/>
        <w:jc w:val="both"/>
        <w:rPr>
          <w:i w:val="1"/>
        </w:rPr>
      </w:pPr>
      <w:r>
        <w:rPr>
          <w:i w:val="1"/>
        </w:rPr>
        <w:t>*на конец периода</w:t>
      </w:r>
    </w:p>
    <w:p w14:paraId="67040000">
      <w:pPr>
        <w:ind w:firstLine="709" w:left="0"/>
        <w:jc w:val="both"/>
      </w:pPr>
      <w:r>
        <w:t xml:space="preserve">Уровень долговой нагрузки (отношение госдолга к собственным доходам) соответствует требованиям бюджетного законодательства. При этом значения уровня долговой нагрузки имеют положительную динамку к снижению с 12,3 процентов по итогам 2025 года до 8,7 процентов </w:t>
      </w:r>
      <w:r>
        <w:t>на конец</w:t>
      </w:r>
      <w:r>
        <w:t xml:space="preserve"> 2027 года. </w:t>
      </w:r>
    </w:p>
    <w:p w14:paraId="68040000">
      <w:pPr>
        <w:ind w:firstLine="709" w:left="0"/>
        <w:jc w:val="both"/>
      </w:pPr>
      <w:r>
        <w:t>Государственный долг Ростовской области прогнозируется на конец трехлетнего периода в объеме 27 990,5 млн рублей.</w:t>
      </w:r>
    </w:p>
    <w:p w14:paraId="69040000">
      <w:pPr>
        <w:ind w:firstLine="709" w:left="0"/>
        <w:jc w:val="both"/>
      </w:pPr>
    </w:p>
    <w:p w14:paraId="6A040000">
      <w:pPr>
        <w:ind w:firstLine="709" w:left="0"/>
        <w:jc w:val="both"/>
      </w:pPr>
    </w:p>
    <w:p w14:paraId="6B040000">
      <w:pPr>
        <w:ind w:firstLine="709" w:left="0"/>
        <w:jc w:val="both"/>
      </w:pPr>
    </w:p>
    <w:p w14:paraId="6C040000">
      <w:pPr>
        <w:ind w:firstLine="851" w:left="0"/>
      </w:pPr>
      <w:r>
        <w:t>Заместитель Губернатора</w:t>
      </w:r>
    </w:p>
    <w:p w14:paraId="6D040000">
      <w:pPr>
        <w:ind w:firstLine="851" w:left="0"/>
      </w:pPr>
      <w:r>
        <w:t xml:space="preserve">   Ростовской области –</w:t>
      </w:r>
    </w:p>
    <w:p w14:paraId="6E040000">
      <w:pPr>
        <w:ind w:firstLine="851" w:left="0"/>
      </w:pPr>
      <w:r>
        <w:t xml:space="preserve">     министр финансов                                                                Л.В. Федотова</w:t>
      </w:r>
    </w:p>
    <w:sectPr>
      <w:headerReference r:id="rId1" w:type="default"/>
      <w:pgSz w:h="16838" w:orient="portrait" w:w="11906"/>
      <w:pgMar w:bottom="567" w:footer="709" w:gutter="0" w:header="709" w:left="1134" w:right="851" w:top="85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left" w:y="1"/>
    </w:pPr>
    <w:r>
      <w:fldChar w:fldCharType="begin"/>
    </w:r>
    <w:r>
      <w:instrText xml:space="preserve">PAGE </w:instrText>
    </w:r>
    <w:r>
      <w:fldChar w:fldCharType="separate"/>
    </w:r>
    <w:r>
      <w:fldChar w:fldCharType="end"/>
    </w:r>
  </w:p>
  <w:p w14:paraId="01000000">
    <w:pPr>
      <w:pStyle w:val="Style_1"/>
      <w:ind/>
      <w:jc w:val="center"/>
    </w:pPr>
  </w:p>
  <w:p w14:paraId="02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upperRoman"/>
      <w:lvlText w:val="%1."/>
      <w:lvlJc w:val="left"/>
      <w:pPr>
        <w:ind w:hanging="720" w:left="4950"/>
      </w:pPr>
    </w:lvl>
    <w:lvl w:ilvl="1">
      <w:start w:val="1"/>
      <w:numFmt w:val="lowerLetter"/>
      <w:lvlText w:val="%2."/>
      <w:lvlJc w:val="left"/>
      <w:pPr>
        <w:ind w:hanging="360" w:left="5310"/>
      </w:pPr>
    </w:lvl>
    <w:lvl w:ilvl="2">
      <w:start w:val="1"/>
      <w:numFmt w:val="lowerRoman"/>
      <w:lvlText w:val="%3."/>
      <w:lvlJc w:val="right"/>
      <w:pPr>
        <w:ind w:hanging="180" w:left="6030"/>
      </w:pPr>
    </w:lvl>
    <w:lvl w:ilvl="3">
      <w:start w:val="1"/>
      <w:numFmt w:val="decimal"/>
      <w:lvlText w:val="%4."/>
      <w:lvlJc w:val="left"/>
      <w:pPr>
        <w:ind w:hanging="360" w:left="6750"/>
      </w:pPr>
    </w:lvl>
    <w:lvl w:ilvl="4">
      <w:start w:val="1"/>
      <w:numFmt w:val="lowerLetter"/>
      <w:lvlText w:val="%5."/>
      <w:lvlJc w:val="left"/>
      <w:pPr>
        <w:ind w:hanging="360" w:left="7470"/>
      </w:pPr>
    </w:lvl>
    <w:lvl w:ilvl="5">
      <w:start w:val="1"/>
      <w:numFmt w:val="lowerRoman"/>
      <w:lvlText w:val="%6."/>
      <w:lvlJc w:val="right"/>
      <w:pPr>
        <w:ind w:hanging="180" w:left="8190"/>
      </w:pPr>
    </w:lvl>
    <w:lvl w:ilvl="6">
      <w:start w:val="1"/>
      <w:numFmt w:val="decimal"/>
      <w:lvlText w:val="%7."/>
      <w:lvlJc w:val="left"/>
      <w:pPr>
        <w:ind w:hanging="360" w:left="8910"/>
      </w:pPr>
    </w:lvl>
    <w:lvl w:ilvl="7">
      <w:start w:val="1"/>
      <w:numFmt w:val="lowerLetter"/>
      <w:lvlText w:val="%8."/>
      <w:lvlJc w:val="left"/>
      <w:pPr>
        <w:ind w:hanging="360" w:left="9630"/>
      </w:pPr>
    </w:lvl>
    <w:lvl w:ilvl="8">
      <w:start w:val="1"/>
      <w:numFmt w:val="lowerRoman"/>
      <w:lvlText w:val="%9."/>
      <w:lvlJc w:val="right"/>
      <w:pPr>
        <w:ind w:hanging="180" w:left="10350"/>
      </w:pPr>
    </w:lvl>
  </w:abstractNum>
  <w:abstractNum w:abstractNumId="1">
    <w:lvl w:ilvl="0">
      <w:start w:val="1"/>
      <w:numFmt w:val="decimal"/>
      <w:pStyle w:val="Style_83"/>
      <w:lvlText w:val="%1.   "/>
      <w:lvlJc w:val="left"/>
      <w:pPr>
        <w:tabs>
          <w:tab w:leader="none" w:pos="1571" w:val="left"/>
        </w:tabs>
        <w:ind w:firstLine="851" w:left="0"/>
      </w:pPr>
    </w:lvl>
    <w:lvl w:ilvl="1">
      <w:start w:val="1"/>
      <w:numFmt w:val="decimal"/>
      <w:lvlText w:val="%1.%2 "/>
      <w:lvlJc w:val="left"/>
      <w:pPr>
        <w:tabs>
          <w:tab w:leader="none" w:pos="1684" w:val="left"/>
        </w:tabs>
        <w:ind w:firstLine="907" w:left="57"/>
      </w:pPr>
    </w:lvl>
    <w:lvl w:ilvl="2">
      <w:start w:val="1"/>
      <w:numFmt w:val="bullet"/>
      <w:lvlText w:val=""/>
      <w:lvlJc w:val="left"/>
      <w:pPr>
        <w:tabs>
          <w:tab w:leader="none" w:pos="1531" w:val="left"/>
        </w:tabs>
        <w:ind w:hanging="397" w:left="1531"/>
      </w:pPr>
      <w:rPr>
        <w:rFonts w:ascii="Symbol" w:hAnsi="Symbol"/>
      </w:rPr>
    </w:lvl>
    <w:lvl w:ilvl="3">
      <w:start w:val="1"/>
      <w:numFmt w:val="decimal"/>
      <w:lvlText w:val="%1.%2.%3.%4"/>
      <w:lvlJc w:val="left"/>
      <w:pPr>
        <w:tabs>
          <w:tab w:leader="none" w:pos="864" w:val="left"/>
        </w:tabs>
        <w:ind w:hanging="864" w:left="864"/>
      </w:pPr>
    </w:lvl>
    <w:lvl w:ilvl="4">
      <w:start w:val="1"/>
      <w:numFmt w:val="decimal"/>
      <w:lvlText w:val="%1.%2.%3.%4.%5"/>
      <w:lvlJc w:val="left"/>
      <w:pPr>
        <w:tabs>
          <w:tab w:leader="none" w:pos="1008" w:val="left"/>
        </w:tabs>
        <w:ind w:hanging="1008" w:left="1008"/>
      </w:pPr>
    </w:lvl>
    <w:lvl w:ilvl="5">
      <w:start w:val="1"/>
      <w:numFmt w:val="decimal"/>
      <w:lvlText w:val="%1.%2.%3.%4.%5.%6"/>
      <w:lvlJc w:val="left"/>
      <w:pPr>
        <w:tabs>
          <w:tab w:leader="none" w:pos="1152" w:val="left"/>
        </w:tabs>
        <w:ind w:hanging="1152" w:left="1152"/>
      </w:pPr>
    </w:lvl>
    <w:lvl w:ilvl="6">
      <w:start w:val="1"/>
      <w:numFmt w:val="decimal"/>
      <w:lvlText w:val="%1.%2.%3.%4.%5.%6.%7"/>
      <w:lvlJc w:val="left"/>
      <w:pPr>
        <w:tabs>
          <w:tab w:leader="none" w:pos="1296" w:val="left"/>
        </w:tabs>
        <w:ind w:hanging="1296" w:left="1296"/>
      </w:pPr>
    </w:lvl>
    <w:lvl w:ilvl="7">
      <w:start w:val="1"/>
      <w:numFmt w:val="decimal"/>
      <w:lvlText w:val="%1.%2.%3.%4.%5.%6.%7.%8"/>
      <w:lvlJc w:val="left"/>
      <w:pPr>
        <w:tabs>
          <w:tab w:leader="none" w:pos="1440" w:val="left"/>
        </w:tabs>
        <w:ind w:hanging="1440" w:left="1440"/>
      </w:pPr>
    </w:lvl>
    <w:lvl w:ilvl="8">
      <w:start w:val="1"/>
      <w:numFmt w:val="decimal"/>
      <w:lvlText w:val="%1.%2.%3.%4.%5.%6.%7.%8.%9"/>
      <w:lvlJc w:val="left"/>
      <w:pPr>
        <w:tabs>
          <w:tab w:leader="none" w:pos="1584" w:val="left"/>
        </w:tabs>
        <w:ind w:hanging="1584" w:left="1584"/>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0" w:type="paragraph">
    <w:name w:val="Normal"/>
    <w:link w:val="Style_10_ch"/>
    <w:uiPriority w:val="0"/>
    <w:qFormat/>
    <w:rPr>
      <w:rFonts w:ascii="Times New Roman" w:hAnsi="Times New Roman"/>
      <w:color w:val="000000"/>
      <w:sz w:val="28"/>
    </w:rPr>
  </w:style>
  <w:style w:default="1" w:styleId="Style_10_ch" w:type="character">
    <w:name w:val="Normal"/>
    <w:link w:val="Style_10"/>
    <w:rPr>
      <w:rFonts w:ascii="Times New Roman" w:hAnsi="Times New Roman"/>
      <w:color w:val="000000"/>
      <w:sz w:val="28"/>
    </w:rPr>
  </w:style>
  <w:style w:styleId="Style_11" w:type="paragraph">
    <w:name w:val="Body Text Indent 2"/>
    <w:basedOn w:val="Style_10"/>
    <w:link w:val="Style_11_ch"/>
    <w:pPr>
      <w:spacing w:after="120" w:line="480" w:lineRule="auto"/>
      <w:ind w:firstLine="0" w:left="283"/>
    </w:pPr>
  </w:style>
  <w:style w:styleId="Style_11_ch" w:type="character">
    <w:name w:val="Body Text Indent 2"/>
    <w:basedOn w:val="Style_10_ch"/>
    <w:link w:val="Style_11"/>
  </w:style>
  <w:style w:styleId="Style_12" w:type="paragraph">
    <w:name w:val="Знак Знак9"/>
    <w:basedOn w:val="Style_13"/>
    <w:link w:val="Style_12_ch"/>
    <w:rPr>
      <w:sz w:val="24"/>
    </w:rPr>
  </w:style>
  <w:style w:styleId="Style_12_ch" w:type="character">
    <w:name w:val="Знак Знак9"/>
    <w:basedOn w:val="Style_13_ch"/>
    <w:link w:val="Style_12"/>
    <w:rPr>
      <w:sz w:val="24"/>
    </w:rPr>
  </w:style>
  <w:style w:styleId="Style_14" w:type="paragraph">
    <w:name w:val="toc 2"/>
    <w:next w:val="Style_10"/>
    <w:link w:val="Style_14_ch"/>
    <w:uiPriority w:val="39"/>
    <w:pPr>
      <w:spacing w:after="200" w:line="276" w:lineRule="auto"/>
      <w:ind w:firstLine="0" w:left="200"/>
    </w:pPr>
    <w:rPr>
      <w:rFonts w:ascii="XO Thames" w:hAnsi="XO Thames"/>
      <w:color w:val="000000"/>
      <w:sz w:val="28"/>
    </w:rPr>
  </w:style>
  <w:style w:styleId="Style_14_ch" w:type="character">
    <w:name w:val="toc 2"/>
    <w:link w:val="Style_14"/>
    <w:rPr>
      <w:rFonts w:ascii="XO Thames" w:hAnsi="XO Thames"/>
      <w:color w:val="000000"/>
      <w:sz w:val="28"/>
    </w:rPr>
  </w:style>
  <w:style w:styleId="Style_15" w:type="paragraph">
    <w:name w:val="Знак Знак7"/>
    <w:basedOn w:val="Style_13"/>
    <w:link w:val="Style_15_ch"/>
    <w:rPr>
      <w:sz w:val="24"/>
    </w:rPr>
  </w:style>
  <w:style w:styleId="Style_15_ch" w:type="character">
    <w:name w:val="Знак Знак7"/>
    <w:basedOn w:val="Style_13_ch"/>
    <w:link w:val="Style_15"/>
    <w:rPr>
      <w:sz w:val="24"/>
    </w:rPr>
  </w:style>
  <w:style w:styleId="Style_16" w:type="paragraph">
    <w:name w:val="Основной текст_"/>
    <w:basedOn w:val="Style_17"/>
    <w:link w:val="Style_16_ch"/>
    <w:rPr>
      <w:sz w:val="27"/>
      <w:highlight w:val="white"/>
    </w:rPr>
  </w:style>
  <w:style w:styleId="Style_16_ch" w:type="character">
    <w:name w:val="Основной текст_"/>
    <w:basedOn w:val="Style_17_ch"/>
    <w:link w:val="Style_16"/>
    <w:rPr>
      <w:sz w:val="27"/>
      <w:highlight w:val="white"/>
    </w:rPr>
  </w:style>
  <w:style w:styleId="Style_18" w:type="paragraph">
    <w:name w:val="toc 4"/>
    <w:next w:val="Style_10"/>
    <w:link w:val="Style_18_ch"/>
    <w:uiPriority w:val="39"/>
    <w:pPr>
      <w:spacing w:after="200" w:line="276" w:lineRule="auto"/>
      <w:ind w:firstLine="0" w:left="600"/>
    </w:pPr>
    <w:rPr>
      <w:rFonts w:ascii="XO Thames" w:hAnsi="XO Thames"/>
      <w:color w:val="000000"/>
      <w:sz w:val="28"/>
    </w:rPr>
  </w:style>
  <w:style w:styleId="Style_18_ch" w:type="character">
    <w:name w:val="toc 4"/>
    <w:link w:val="Style_18"/>
    <w:rPr>
      <w:rFonts w:ascii="XO Thames" w:hAnsi="XO Thames"/>
      <w:color w:val="000000"/>
      <w:sz w:val="28"/>
    </w:rPr>
  </w:style>
  <w:style w:styleId="Style_19" w:type="paragraph">
    <w:name w:val="Style 12"/>
    <w:basedOn w:val="Style_10"/>
    <w:link w:val="Style_19_ch"/>
    <w:pPr>
      <w:widowControl w:val="0"/>
      <w:spacing w:after="180" w:before="1440" w:line="367" w:lineRule="exact"/>
      <w:ind w:hanging="360" w:left="360"/>
      <w:jc w:val="both"/>
    </w:pPr>
    <w:rPr>
      <w:rFonts w:asciiTheme="minorAscii" w:hAnsiTheme="minorHAnsi"/>
      <w:sz w:val="26"/>
    </w:rPr>
  </w:style>
  <w:style w:styleId="Style_19_ch" w:type="character">
    <w:name w:val="Style 12"/>
    <w:basedOn w:val="Style_10_ch"/>
    <w:link w:val="Style_19"/>
    <w:rPr>
      <w:rFonts w:asciiTheme="minorAscii" w:hAnsiTheme="minorHAnsi"/>
      <w:sz w:val="26"/>
    </w:rPr>
  </w:style>
  <w:style w:styleId="Style_20" w:type="paragraph">
    <w:name w:val="heading 7"/>
    <w:basedOn w:val="Style_10"/>
    <w:next w:val="Style_10"/>
    <w:link w:val="Style_20_ch"/>
    <w:uiPriority w:val="9"/>
    <w:qFormat/>
    <w:pPr>
      <w:keepNext w:val="1"/>
      <w:ind/>
      <w:jc w:val="both"/>
      <w:outlineLvl w:val="6"/>
    </w:pPr>
    <w:rPr>
      <w:rFonts w:ascii="Arial" w:hAnsi="Arial"/>
      <w:b w:val="1"/>
      <w:i w:val="1"/>
      <w:sz w:val="22"/>
    </w:rPr>
  </w:style>
  <w:style w:styleId="Style_20_ch" w:type="character">
    <w:name w:val="heading 7"/>
    <w:basedOn w:val="Style_10_ch"/>
    <w:link w:val="Style_20"/>
    <w:rPr>
      <w:rFonts w:ascii="Arial" w:hAnsi="Arial"/>
      <w:b w:val="1"/>
      <w:i w:val="1"/>
      <w:sz w:val="22"/>
    </w:rPr>
  </w:style>
  <w:style w:styleId="Style_21" w:type="paragraph">
    <w:name w:val="Подпись к таблице (2)"/>
    <w:basedOn w:val="Style_10"/>
    <w:link w:val="Style_21_ch"/>
    <w:pPr>
      <w:widowControl w:val="0"/>
      <w:spacing w:line="0" w:lineRule="atLeast"/>
      <w:ind/>
      <w:jc w:val="right"/>
    </w:pPr>
    <w:rPr>
      <w:rFonts w:asciiTheme="minorAscii" w:hAnsiTheme="minorHAnsi"/>
      <w:b w:val="1"/>
      <w:spacing w:val="-5"/>
      <w:sz w:val="18"/>
    </w:rPr>
  </w:style>
  <w:style w:styleId="Style_21_ch" w:type="character">
    <w:name w:val="Подпись к таблице (2)"/>
    <w:basedOn w:val="Style_10_ch"/>
    <w:link w:val="Style_21"/>
    <w:rPr>
      <w:rFonts w:asciiTheme="minorAscii" w:hAnsiTheme="minorHAnsi"/>
      <w:b w:val="1"/>
      <w:spacing w:val="-5"/>
      <w:sz w:val="18"/>
    </w:rPr>
  </w:style>
  <w:style w:styleId="Style_22" w:type="paragraph">
    <w:name w:val="toc 6"/>
    <w:next w:val="Style_10"/>
    <w:link w:val="Style_22_ch"/>
    <w:uiPriority w:val="39"/>
    <w:pPr>
      <w:spacing w:after="200" w:line="276" w:lineRule="auto"/>
      <w:ind w:firstLine="0" w:left="1000"/>
    </w:pPr>
    <w:rPr>
      <w:rFonts w:ascii="XO Thames" w:hAnsi="XO Thames"/>
      <w:color w:val="000000"/>
      <w:sz w:val="28"/>
    </w:rPr>
  </w:style>
  <w:style w:styleId="Style_22_ch" w:type="character">
    <w:name w:val="toc 6"/>
    <w:link w:val="Style_22"/>
    <w:rPr>
      <w:rFonts w:ascii="XO Thames" w:hAnsi="XO Thames"/>
      <w:color w:val="000000"/>
      <w:sz w:val="28"/>
    </w:rPr>
  </w:style>
  <w:style w:styleId="Style_23" w:type="paragraph">
    <w:name w:val="Обычный15"/>
    <w:link w:val="Style_23_ch"/>
    <w:pPr>
      <w:spacing w:after="200" w:line="276" w:lineRule="auto"/>
      <w:ind/>
    </w:pPr>
    <w:rPr>
      <w:rFonts w:ascii="Times New Roman" w:hAnsi="Times New Roman"/>
      <w:color w:val="000000"/>
      <w:sz w:val="28"/>
    </w:rPr>
  </w:style>
  <w:style w:styleId="Style_23_ch" w:type="character">
    <w:name w:val="Обычный15"/>
    <w:link w:val="Style_23"/>
    <w:rPr>
      <w:rFonts w:ascii="Times New Roman" w:hAnsi="Times New Roman"/>
      <w:color w:val="000000"/>
      <w:sz w:val="28"/>
    </w:rPr>
  </w:style>
  <w:style w:styleId="Style_24" w:type="paragraph">
    <w:name w:val="toc 7"/>
    <w:next w:val="Style_10"/>
    <w:link w:val="Style_24_ch"/>
    <w:uiPriority w:val="39"/>
    <w:pPr>
      <w:spacing w:after="200" w:line="276" w:lineRule="auto"/>
      <w:ind w:firstLine="0" w:left="1200"/>
    </w:pPr>
    <w:rPr>
      <w:rFonts w:ascii="XO Thames" w:hAnsi="XO Thames"/>
      <w:color w:val="000000"/>
      <w:sz w:val="28"/>
    </w:rPr>
  </w:style>
  <w:style w:styleId="Style_24_ch" w:type="character">
    <w:name w:val="toc 7"/>
    <w:link w:val="Style_24"/>
    <w:rPr>
      <w:rFonts w:ascii="XO Thames" w:hAnsi="XO Thames"/>
      <w:color w:val="000000"/>
      <w:sz w:val="28"/>
    </w:rPr>
  </w:style>
  <w:style w:styleId="Style_25" w:type="paragraph">
    <w:name w:val="Знак Знак19"/>
    <w:basedOn w:val="Style_13"/>
    <w:link w:val="Style_25_ch"/>
    <w:rPr>
      <w:sz w:val="24"/>
    </w:rPr>
  </w:style>
  <w:style w:styleId="Style_25_ch" w:type="character">
    <w:name w:val="Знак Знак19"/>
    <w:basedOn w:val="Style_13_ch"/>
    <w:link w:val="Style_25"/>
    <w:rPr>
      <w:sz w:val="24"/>
    </w:rPr>
  </w:style>
  <w:style w:styleId="Style_26" w:type="paragraph">
    <w:name w:val="NormalANX"/>
    <w:basedOn w:val="Style_10"/>
    <w:link w:val="Style_26_ch"/>
    <w:pPr>
      <w:spacing w:after="240" w:before="240" w:line="360" w:lineRule="auto"/>
      <w:ind w:firstLine="720" w:left="0"/>
      <w:jc w:val="both"/>
    </w:pPr>
  </w:style>
  <w:style w:styleId="Style_26_ch" w:type="character">
    <w:name w:val="NormalANX"/>
    <w:basedOn w:val="Style_10_ch"/>
    <w:link w:val="Style_26"/>
  </w:style>
  <w:style w:styleId="Style_27" w:type="paragraph">
    <w:name w:val="Основной шрифт абзаца22"/>
    <w:link w:val="Style_27_ch"/>
    <w:pPr>
      <w:spacing w:after="200" w:line="276" w:lineRule="auto"/>
      <w:ind/>
    </w:pPr>
    <w:rPr>
      <w:color w:val="000000"/>
      <w:sz w:val="22"/>
    </w:rPr>
  </w:style>
  <w:style w:styleId="Style_27_ch" w:type="character">
    <w:name w:val="Основной шрифт абзаца22"/>
    <w:link w:val="Style_27"/>
    <w:rPr>
      <w:color w:val="000000"/>
      <w:sz w:val="22"/>
    </w:rPr>
  </w:style>
  <w:style w:styleId="Style_1" w:type="paragraph">
    <w:name w:val="header"/>
    <w:basedOn w:val="Style_10"/>
    <w:link w:val="Style_1_ch"/>
    <w:pPr>
      <w:tabs>
        <w:tab w:leader="none" w:pos="4677" w:val="center"/>
        <w:tab w:leader="none" w:pos="9355" w:val="right"/>
      </w:tabs>
      <w:ind/>
    </w:pPr>
  </w:style>
  <w:style w:styleId="Style_1_ch" w:type="character">
    <w:name w:val="header"/>
    <w:basedOn w:val="Style_10_ch"/>
    <w:link w:val="Style_1"/>
  </w:style>
  <w:style w:styleId="Style_28" w:type="paragraph">
    <w:name w:val="ЭЭГ"/>
    <w:basedOn w:val="Style_10"/>
    <w:link w:val="Style_28_ch"/>
    <w:pPr>
      <w:spacing w:line="360" w:lineRule="auto"/>
      <w:ind w:firstLine="720" w:left="0"/>
      <w:jc w:val="both"/>
    </w:pPr>
    <w:rPr>
      <w:sz w:val="24"/>
    </w:rPr>
  </w:style>
  <w:style w:styleId="Style_28_ch" w:type="character">
    <w:name w:val="ЭЭГ"/>
    <w:basedOn w:val="Style_10_ch"/>
    <w:link w:val="Style_28"/>
    <w:rPr>
      <w:sz w:val="24"/>
    </w:rPr>
  </w:style>
  <w:style w:styleId="Style_29" w:type="paragraph">
    <w:name w:val="Знак Знак13"/>
    <w:basedOn w:val="Style_13"/>
    <w:link w:val="Style_29_ch"/>
    <w:rPr>
      <w:sz w:val="24"/>
    </w:rPr>
  </w:style>
  <w:style w:styleId="Style_29_ch" w:type="character">
    <w:name w:val="Знак Знак13"/>
    <w:basedOn w:val="Style_13_ch"/>
    <w:link w:val="Style_29"/>
    <w:rPr>
      <w:sz w:val="24"/>
    </w:rPr>
  </w:style>
  <w:style w:styleId="Style_30" w:type="paragraph">
    <w:name w:val="Подпись к таблице_"/>
    <w:basedOn w:val="Style_17"/>
    <w:link w:val="Style_30_ch"/>
    <w:rPr>
      <w:b w:val="1"/>
      <w:spacing w:val="-5"/>
      <w:sz w:val="23"/>
      <w:highlight w:val="white"/>
    </w:rPr>
  </w:style>
  <w:style w:styleId="Style_30_ch" w:type="character">
    <w:name w:val="Подпись к таблице_"/>
    <w:basedOn w:val="Style_17_ch"/>
    <w:link w:val="Style_30"/>
    <w:rPr>
      <w:b w:val="1"/>
      <w:spacing w:val="-5"/>
      <w:sz w:val="23"/>
      <w:highlight w:val="white"/>
    </w:rPr>
  </w:style>
  <w:style w:styleId="Style_31" w:type="paragraph">
    <w:name w:val="Endnote"/>
    <w:link w:val="Style_31_ch"/>
    <w:pPr>
      <w:ind w:firstLine="851" w:left="0"/>
      <w:jc w:val="both"/>
    </w:pPr>
    <w:rPr>
      <w:rFonts w:ascii="XO Thames" w:hAnsi="XO Thames"/>
      <w:sz w:val="22"/>
    </w:rPr>
  </w:style>
  <w:style w:styleId="Style_31_ch" w:type="character">
    <w:name w:val="Endnote"/>
    <w:link w:val="Style_31"/>
    <w:rPr>
      <w:rFonts w:ascii="XO Thames" w:hAnsi="XO Thames"/>
      <w:sz w:val="22"/>
    </w:rPr>
  </w:style>
  <w:style w:styleId="Style_32" w:type="paragraph">
    <w:name w:val="heading 3"/>
    <w:next w:val="Style_10"/>
    <w:link w:val="Style_32_ch"/>
    <w:uiPriority w:val="9"/>
    <w:qFormat/>
    <w:pPr>
      <w:spacing w:after="120" w:before="120" w:line="276" w:lineRule="auto"/>
      <w:ind/>
      <w:jc w:val="both"/>
      <w:outlineLvl w:val="2"/>
    </w:pPr>
    <w:rPr>
      <w:rFonts w:ascii="XO Thames" w:hAnsi="XO Thames"/>
      <w:b w:val="1"/>
      <w:color w:val="000000"/>
      <w:sz w:val="26"/>
    </w:rPr>
  </w:style>
  <w:style w:styleId="Style_32_ch" w:type="character">
    <w:name w:val="heading 3"/>
    <w:link w:val="Style_32"/>
    <w:rPr>
      <w:rFonts w:ascii="XO Thames" w:hAnsi="XO Thames"/>
      <w:b w:val="1"/>
      <w:color w:val="000000"/>
      <w:sz w:val="26"/>
    </w:rPr>
  </w:style>
  <w:style w:styleId="Style_33" w:type="paragraph">
    <w:name w:val="ConsPlusCell"/>
    <w:link w:val="Style_33_ch"/>
    <w:pPr>
      <w:widowControl w:val="0"/>
      <w:ind/>
    </w:pPr>
    <w:rPr>
      <w:rFonts w:ascii="Times New Roman" w:hAnsi="Times New Roman"/>
      <w:color w:val="000000"/>
      <w:sz w:val="28"/>
    </w:rPr>
  </w:style>
  <w:style w:styleId="Style_33_ch" w:type="character">
    <w:name w:val="ConsPlusCell"/>
    <w:link w:val="Style_33"/>
    <w:rPr>
      <w:rFonts w:ascii="Times New Roman" w:hAnsi="Times New Roman"/>
      <w:color w:val="000000"/>
      <w:sz w:val="28"/>
    </w:rPr>
  </w:style>
  <w:style w:styleId="Style_34" w:type="paragraph">
    <w:name w:val="Гиперссылка2"/>
    <w:link w:val="Style_34_ch"/>
    <w:pPr>
      <w:spacing w:after="200" w:line="276" w:lineRule="auto"/>
      <w:ind/>
    </w:pPr>
    <w:rPr>
      <w:color w:val="0000FF"/>
      <w:sz w:val="22"/>
      <w:u w:val="single"/>
    </w:rPr>
  </w:style>
  <w:style w:styleId="Style_34_ch" w:type="character">
    <w:name w:val="Гиперссылка2"/>
    <w:link w:val="Style_34"/>
    <w:rPr>
      <w:color w:val="0000FF"/>
      <w:sz w:val="22"/>
      <w:u w:val="single"/>
    </w:rPr>
  </w:style>
  <w:style w:styleId="Style_35" w:type="paragraph">
    <w:name w:val="Normal (Web)"/>
    <w:basedOn w:val="Style_10"/>
    <w:link w:val="Style_35_ch"/>
    <w:pPr>
      <w:spacing w:afterAutospacing="on" w:beforeAutospacing="on"/>
      <w:ind/>
    </w:pPr>
    <w:rPr>
      <w:sz w:val="24"/>
    </w:rPr>
  </w:style>
  <w:style w:styleId="Style_35_ch" w:type="character">
    <w:name w:val="Normal (Web)"/>
    <w:basedOn w:val="Style_10_ch"/>
    <w:link w:val="Style_35"/>
    <w:rPr>
      <w:sz w:val="24"/>
    </w:rPr>
  </w:style>
  <w:style w:styleId="Style_4" w:type="paragraph">
    <w:name w:val="ConsPlusNormal"/>
    <w:link w:val="Style_4_ch"/>
    <w:pPr>
      <w:ind w:firstLine="720" w:left="0"/>
    </w:pPr>
    <w:rPr>
      <w:rFonts w:ascii="Arial" w:hAnsi="Arial"/>
      <w:color w:val="000000"/>
    </w:rPr>
  </w:style>
  <w:style w:styleId="Style_4_ch" w:type="character">
    <w:name w:val="ConsPlusNormal"/>
    <w:link w:val="Style_4"/>
    <w:rPr>
      <w:rFonts w:ascii="Arial" w:hAnsi="Arial"/>
      <w:color w:val="000000"/>
    </w:rPr>
  </w:style>
  <w:style w:styleId="Style_36" w:type="paragraph">
    <w:name w:val="Основной текст с отступом Знак2"/>
    <w:basedOn w:val="Style_13"/>
    <w:link w:val="Style_36_ch"/>
    <w:rPr>
      <w:rFonts w:ascii="Times New Roman" w:hAnsi="Times New Roman"/>
      <w:sz w:val="24"/>
    </w:rPr>
  </w:style>
  <w:style w:styleId="Style_36_ch" w:type="character">
    <w:name w:val="Основной текст с отступом Знак2"/>
    <w:basedOn w:val="Style_13_ch"/>
    <w:link w:val="Style_36"/>
    <w:rPr>
      <w:rFonts w:ascii="Times New Roman" w:hAnsi="Times New Roman"/>
      <w:sz w:val="24"/>
    </w:rPr>
  </w:style>
  <w:style w:styleId="Style_37" w:type="paragraph">
    <w:name w:val="footer"/>
    <w:basedOn w:val="Style_10"/>
    <w:link w:val="Style_37_ch"/>
    <w:pPr>
      <w:tabs>
        <w:tab w:leader="none" w:pos="4677" w:val="center"/>
        <w:tab w:leader="none" w:pos="9355" w:val="right"/>
      </w:tabs>
      <w:ind/>
    </w:pPr>
  </w:style>
  <w:style w:styleId="Style_37_ch" w:type="character">
    <w:name w:val="footer"/>
    <w:basedOn w:val="Style_10_ch"/>
    <w:link w:val="Style_37"/>
  </w:style>
  <w:style w:styleId="Style_38" w:type="paragraph">
    <w:name w:val="Выделение1"/>
    <w:basedOn w:val="Style_13"/>
    <w:link w:val="Style_38_ch"/>
    <w:rPr>
      <w:i w:val="1"/>
    </w:rPr>
  </w:style>
  <w:style w:styleId="Style_38_ch" w:type="character">
    <w:name w:val="Выделение1"/>
    <w:basedOn w:val="Style_13_ch"/>
    <w:link w:val="Style_38"/>
    <w:rPr>
      <w:i w:val="1"/>
    </w:rPr>
  </w:style>
  <w:style w:styleId="Style_39" w:type="paragraph">
    <w:name w:val="Footnote"/>
    <w:basedOn w:val="Style_10"/>
    <w:link w:val="Style_39_ch"/>
    <w:rPr>
      <w:sz w:val="20"/>
    </w:rPr>
  </w:style>
  <w:style w:styleId="Style_39_ch" w:type="character">
    <w:name w:val="Footnote"/>
    <w:basedOn w:val="Style_10_ch"/>
    <w:link w:val="Style_39"/>
    <w:rPr>
      <w:sz w:val="20"/>
    </w:rPr>
  </w:style>
  <w:style w:styleId="Style_40" w:type="paragraph">
    <w:name w:val="Основной шрифт абзаца3"/>
    <w:link w:val="Style_40_ch"/>
    <w:pPr>
      <w:spacing w:after="200" w:line="276" w:lineRule="auto"/>
      <w:ind/>
    </w:pPr>
    <w:rPr>
      <w:color w:val="000000"/>
      <w:sz w:val="22"/>
    </w:rPr>
  </w:style>
  <w:style w:styleId="Style_40_ch" w:type="character">
    <w:name w:val="Основной шрифт абзаца3"/>
    <w:link w:val="Style_40"/>
    <w:rPr>
      <w:color w:val="000000"/>
      <w:sz w:val="22"/>
    </w:rPr>
  </w:style>
  <w:style w:styleId="Style_41" w:type="paragraph">
    <w:name w:val="Нормальный (таблица)"/>
    <w:basedOn w:val="Style_10"/>
    <w:next w:val="Style_10"/>
    <w:link w:val="Style_41_ch"/>
    <w:pPr>
      <w:ind/>
      <w:jc w:val="both"/>
    </w:pPr>
    <w:rPr>
      <w:rFonts w:ascii="Arial" w:hAnsi="Arial"/>
      <w:sz w:val="24"/>
    </w:rPr>
  </w:style>
  <w:style w:styleId="Style_41_ch" w:type="character">
    <w:name w:val="Нормальный (таблица)"/>
    <w:basedOn w:val="Style_10_ch"/>
    <w:link w:val="Style_41"/>
    <w:rPr>
      <w:rFonts w:ascii="Arial" w:hAnsi="Arial"/>
      <w:sz w:val="24"/>
    </w:rPr>
  </w:style>
  <w:style w:styleId="Style_42" w:type="paragraph">
    <w:name w:val="Знак Знак15"/>
    <w:basedOn w:val="Style_13"/>
    <w:link w:val="Style_42_ch"/>
    <w:rPr>
      <w:sz w:val="24"/>
    </w:rPr>
  </w:style>
  <w:style w:styleId="Style_42_ch" w:type="character">
    <w:name w:val="Знак Знак15"/>
    <w:basedOn w:val="Style_13_ch"/>
    <w:link w:val="Style_42"/>
    <w:rPr>
      <w:sz w:val="24"/>
    </w:rPr>
  </w:style>
  <w:style w:styleId="Style_43" w:type="paragraph">
    <w:name w:val="Основной текст Знак2"/>
    <w:basedOn w:val="Style_13"/>
    <w:link w:val="Style_43_ch"/>
    <w:rPr>
      <w:sz w:val="28"/>
    </w:rPr>
  </w:style>
  <w:style w:styleId="Style_43_ch" w:type="character">
    <w:name w:val="Основной текст Знак2"/>
    <w:basedOn w:val="Style_13_ch"/>
    <w:link w:val="Style_43"/>
    <w:rPr>
      <w:sz w:val="28"/>
    </w:rPr>
  </w:style>
  <w:style w:styleId="Style_44" w:type="paragraph">
    <w:name w:val="ConsNormal"/>
    <w:link w:val="Style_44_ch"/>
    <w:pPr>
      <w:widowControl w:val="0"/>
      <w:ind w:firstLine="720" w:left="0"/>
    </w:pPr>
    <w:rPr>
      <w:rFonts w:ascii="Arial" w:hAnsi="Arial"/>
      <w:color w:val="000000"/>
    </w:rPr>
  </w:style>
  <w:style w:styleId="Style_44_ch" w:type="character">
    <w:name w:val="ConsNormal"/>
    <w:link w:val="Style_44"/>
    <w:rPr>
      <w:rFonts w:ascii="Arial" w:hAnsi="Arial"/>
      <w:color w:val="000000"/>
    </w:rPr>
  </w:style>
  <w:style w:styleId="Style_45" w:type="paragraph">
    <w:name w:val="annotation text"/>
    <w:basedOn w:val="Style_10"/>
    <w:link w:val="Style_45_ch"/>
    <w:rPr>
      <w:sz w:val="20"/>
    </w:rPr>
  </w:style>
  <w:style w:styleId="Style_45_ch" w:type="character">
    <w:name w:val="annotation text"/>
    <w:basedOn w:val="Style_10_ch"/>
    <w:link w:val="Style_45"/>
    <w:rPr>
      <w:sz w:val="20"/>
    </w:rPr>
  </w:style>
  <w:style w:styleId="Style_17" w:type="paragraph">
    <w:name w:val="Default Paragraph Font"/>
    <w:link w:val="Style_17_ch"/>
  </w:style>
  <w:style w:styleId="Style_17_ch" w:type="character">
    <w:name w:val="Default Paragraph Font"/>
    <w:link w:val="Style_17"/>
  </w:style>
  <w:style w:styleId="Style_46" w:type="paragraph">
    <w:name w:val="Строгий1"/>
    <w:basedOn w:val="Style_13"/>
    <w:link w:val="Style_46_ch"/>
    <w:rPr>
      <w:b w:val="1"/>
    </w:rPr>
  </w:style>
  <w:style w:styleId="Style_46_ch" w:type="character">
    <w:name w:val="Строгий1"/>
    <w:basedOn w:val="Style_13_ch"/>
    <w:link w:val="Style_46"/>
    <w:rPr>
      <w:b w:val="1"/>
    </w:rPr>
  </w:style>
  <w:style w:styleId="Style_13" w:type="paragraph">
    <w:name w:val="Основной шрифт абзаца1"/>
    <w:link w:val="Style_13_ch"/>
    <w:pPr>
      <w:spacing w:after="200" w:line="276" w:lineRule="auto"/>
      <w:ind/>
    </w:pPr>
    <w:rPr>
      <w:color w:val="000000"/>
      <w:sz w:val="22"/>
    </w:rPr>
  </w:style>
  <w:style w:styleId="Style_13_ch" w:type="character">
    <w:name w:val="Основной шрифт абзаца1"/>
    <w:link w:val="Style_13"/>
    <w:rPr>
      <w:color w:val="000000"/>
      <w:sz w:val="22"/>
    </w:rPr>
  </w:style>
  <w:style w:styleId="Style_47" w:type="paragraph">
    <w:name w:val="annotation subject"/>
    <w:basedOn w:val="Style_45"/>
    <w:next w:val="Style_45"/>
    <w:link w:val="Style_47_ch"/>
    <w:rPr>
      <w:b w:val="1"/>
    </w:rPr>
  </w:style>
  <w:style w:styleId="Style_47_ch" w:type="character">
    <w:name w:val="annotation subject"/>
    <w:basedOn w:val="Style_45_ch"/>
    <w:link w:val="Style_47"/>
    <w:rPr>
      <w:b w:val="1"/>
    </w:rPr>
  </w:style>
  <w:style w:styleId="Style_48" w:type="paragraph">
    <w:name w:val="Основной текст Знак"/>
    <w:basedOn w:val="Style_13"/>
    <w:link w:val="Style_48_ch"/>
    <w:rPr>
      <w:rFonts w:ascii="Times New Roman" w:hAnsi="Times New Roman"/>
      <w:sz w:val="28"/>
    </w:rPr>
  </w:style>
  <w:style w:styleId="Style_48_ch" w:type="character">
    <w:name w:val="Основной текст Знак"/>
    <w:basedOn w:val="Style_13_ch"/>
    <w:link w:val="Style_48"/>
    <w:rPr>
      <w:rFonts w:ascii="Times New Roman" w:hAnsi="Times New Roman"/>
      <w:sz w:val="28"/>
    </w:rPr>
  </w:style>
  <w:style w:styleId="Style_49" w:type="paragraph">
    <w:name w:val="Strong"/>
    <w:basedOn w:val="Style_17"/>
    <w:link w:val="Style_49_ch"/>
    <w:rPr>
      <w:b w:val="1"/>
    </w:rPr>
  </w:style>
  <w:style w:styleId="Style_49_ch" w:type="character">
    <w:name w:val="Strong"/>
    <w:basedOn w:val="Style_17_ch"/>
    <w:link w:val="Style_49"/>
    <w:rPr>
      <w:b w:val="1"/>
    </w:rPr>
  </w:style>
  <w:style w:styleId="Style_50" w:type="paragraph">
    <w:name w:val="toc 3"/>
    <w:next w:val="Style_10"/>
    <w:link w:val="Style_50_ch"/>
    <w:uiPriority w:val="39"/>
    <w:pPr>
      <w:spacing w:after="200" w:line="276" w:lineRule="auto"/>
      <w:ind w:firstLine="0" w:left="400"/>
    </w:pPr>
    <w:rPr>
      <w:rFonts w:ascii="XO Thames" w:hAnsi="XO Thames"/>
      <w:color w:val="000000"/>
      <w:sz w:val="28"/>
    </w:rPr>
  </w:style>
  <w:style w:styleId="Style_50_ch" w:type="character">
    <w:name w:val="toc 3"/>
    <w:link w:val="Style_50"/>
    <w:rPr>
      <w:rFonts w:ascii="XO Thames" w:hAnsi="XO Thames"/>
      <w:color w:val="000000"/>
      <w:sz w:val="28"/>
    </w:rPr>
  </w:style>
  <w:style w:styleId="Style_51" w:type="paragraph">
    <w:name w:val="page number"/>
    <w:basedOn w:val="Style_17"/>
    <w:link w:val="Style_51_ch"/>
  </w:style>
  <w:style w:styleId="Style_51_ch" w:type="character">
    <w:name w:val="page number"/>
    <w:basedOn w:val="Style_17_ch"/>
    <w:link w:val="Style_51"/>
  </w:style>
  <w:style w:styleId="Style_52" w:type="paragraph">
    <w:name w:val="Знак Знак48"/>
    <w:basedOn w:val="Style_13"/>
    <w:link w:val="Style_52_ch"/>
    <w:rPr>
      <w:rFonts w:ascii="Times New Roman" w:hAnsi="Times New Roman"/>
      <w:sz w:val="24"/>
    </w:rPr>
  </w:style>
  <w:style w:styleId="Style_52_ch" w:type="character">
    <w:name w:val="Знак Знак48"/>
    <w:basedOn w:val="Style_13_ch"/>
    <w:link w:val="Style_52"/>
    <w:rPr>
      <w:rFonts w:ascii="Times New Roman" w:hAnsi="Times New Roman"/>
      <w:sz w:val="24"/>
    </w:rPr>
  </w:style>
  <w:style w:styleId="Style_53" w:type="paragraph">
    <w:name w:val="Основной текст с отступом.Нумерованный список !!.Надин стиль"/>
    <w:basedOn w:val="Style_10"/>
    <w:link w:val="Style_53_ch"/>
    <w:pPr>
      <w:tabs>
        <w:tab w:leader="none" w:pos="8647" w:val="left"/>
      </w:tabs>
      <w:ind w:firstLine="567" w:left="0" w:right="139"/>
      <w:jc w:val="both"/>
    </w:pPr>
  </w:style>
  <w:style w:styleId="Style_53_ch" w:type="character">
    <w:name w:val="Основной текст с отступом.Нумерованный список !!.Надин стиль"/>
    <w:basedOn w:val="Style_10_ch"/>
    <w:link w:val="Style_53"/>
  </w:style>
  <w:style w:styleId="Style_54" w:type="paragraph">
    <w:name w:val="Номер страницы1"/>
    <w:basedOn w:val="Style_13"/>
    <w:link w:val="Style_54_ch"/>
  </w:style>
  <w:style w:styleId="Style_54_ch" w:type="character">
    <w:name w:val="Номер страницы1"/>
    <w:basedOn w:val="Style_13_ch"/>
    <w:link w:val="Style_54"/>
  </w:style>
  <w:style w:styleId="Style_55" w:type="paragraph">
    <w:name w:val="ConsPlusNonformat"/>
    <w:link w:val="Style_55_ch"/>
    <w:pPr>
      <w:widowControl w:val="0"/>
      <w:ind/>
    </w:pPr>
    <w:rPr>
      <w:rFonts w:ascii="Courier New" w:hAnsi="Courier New"/>
      <w:color w:val="000000"/>
    </w:rPr>
  </w:style>
  <w:style w:styleId="Style_55_ch" w:type="character">
    <w:name w:val="ConsPlusNonformat"/>
    <w:link w:val="Style_55"/>
    <w:rPr>
      <w:rFonts w:ascii="Courier New" w:hAnsi="Courier New"/>
      <w:color w:val="000000"/>
    </w:rPr>
  </w:style>
  <w:style w:styleId="Style_56" w:type="paragraph">
    <w:name w:val="ConsNormal Знак"/>
    <w:basedOn w:val="Style_17"/>
    <w:link w:val="Style_56_ch"/>
    <w:rPr>
      <w:rFonts w:ascii="Arial" w:hAnsi="Arial"/>
    </w:rPr>
  </w:style>
  <w:style w:styleId="Style_56_ch" w:type="character">
    <w:name w:val="ConsNormal Знак"/>
    <w:basedOn w:val="Style_17_ch"/>
    <w:link w:val="Style_56"/>
    <w:rPr>
      <w:rFonts w:ascii="Arial" w:hAnsi="Arial"/>
    </w:rPr>
  </w:style>
  <w:style w:styleId="Style_57" w:type="paragraph">
    <w:name w:val="Обычный11"/>
    <w:link w:val="Style_57_ch"/>
    <w:pPr>
      <w:spacing w:after="200" w:line="276" w:lineRule="auto"/>
      <w:ind/>
    </w:pPr>
    <w:rPr>
      <w:rFonts w:ascii="Times New Roman" w:hAnsi="Times New Roman"/>
      <w:color w:val="000000"/>
      <w:sz w:val="28"/>
    </w:rPr>
  </w:style>
  <w:style w:styleId="Style_57_ch" w:type="character">
    <w:name w:val="Обычный11"/>
    <w:link w:val="Style_57"/>
    <w:rPr>
      <w:rFonts w:ascii="Times New Roman" w:hAnsi="Times New Roman"/>
      <w:color w:val="000000"/>
      <w:sz w:val="28"/>
    </w:rPr>
  </w:style>
  <w:style w:styleId="Style_58" w:type="paragraph">
    <w:name w:val="paragraph"/>
    <w:basedOn w:val="Style_10"/>
    <w:link w:val="Style_58_ch"/>
    <w:pPr>
      <w:spacing w:afterAutospacing="on" w:beforeAutospacing="on"/>
      <w:ind/>
    </w:pPr>
    <w:rPr>
      <w:sz w:val="24"/>
    </w:rPr>
  </w:style>
  <w:style w:styleId="Style_58_ch" w:type="character">
    <w:name w:val="paragraph"/>
    <w:basedOn w:val="Style_10_ch"/>
    <w:link w:val="Style_58"/>
    <w:rPr>
      <w:sz w:val="24"/>
    </w:rPr>
  </w:style>
  <w:style w:styleId="Style_59" w:type="paragraph">
    <w:name w:val="Courier14"/>
    <w:basedOn w:val="Style_10"/>
    <w:link w:val="Style_59_ch"/>
    <w:pPr>
      <w:ind w:firstLine="851" w:left="0"/>
      <w:jc w:val="both"/>
    </w:pPr>
    <w:rPr>
      <w:rFonts w:ascii="Courier New" w:hAnsi="Courier New"/>
    </w:rPr>
  </w:style>
  <w:style w:styleId="Style_59_ch" w:type="character">
    <w:name w:val="Courier14"/>
    <w:basedOn w:val="Style_10_ch"/>
    <w:link w:val="Style_59"/>
    <w:rPr>
      <w:rFonts w:ascii="Courier New" w:hAnsi="Courier New"/>
    </w:rPr>
  </w:style>
  <w:style w:styleId="Style_8" w:type="paragraph">
    <w:name w:val="Обычный17"/>
    <w:link w:val="Style_8_ch"/>
    <w:pPr>
      <w:spacing w:after="200" w:line="276" w:lineRule="auto"/>
      <w:ind/>
    </w:pPr>
    <w:rPr>
      <w:rFonts w:ascii="Times New Roman" w:hAnsi="Times New Roman"/>
      <w:color w:val="000000"/>
      <w:sz w:val="28"/>
    </w:rPr>
  </w:style>
  <w:style w:styleId="Style_8_ch" w:type="character">
    <w:name w:val="Обычный17"/>
    <w:link w:val="Style_8"/>
    <w:rPr>
      <w:rFonts w:ascii="Times New Roman" w:hAnsi="Times New Roman"/>
      <w:color w:val="000000"/>
      <w:sz w:val="28"/>
    </w:rPr>
  </w:style>
  <w:style w:styleId="Style_60" w:type="paragraph">
    <w:name w:val="Zag_11"/>
    <w:link w:val="Style_60_ch"/>
    <w:pPr>
      <w:spacing w:after="200" w:line="276" w:lineRule="auto"/>
      <w:ind/>
    </w:pPr>
    <w:rPr>
      <w:color w:val="000000"/>
      <w:sz w:val="22"/>
    </w:rPr>
  </w:style>
  <w:style w:styleId="Style_60_ch" w:type="character">
    <w:name w:val="Zag_11"/>
    <w:link w:val="Style_60"/>
    <w:rPr>
      <w:color w:val="000000"/>
      <w:sz w:val="22"/>
    </w:rPr>
  </w:style>
  <w:style w:styleId="Style_61" w:type="paragraph">
    <w:name w:val="Знак Знак42"/>
    <w:basedOn w:val="Style_13"/>
    <w:link w:val="Style_61_ch"/>
    <w:rPr>
      <w:rFonts w:ascii="Times New Roman" w:hAnsi="Times New Roman"/>
      <w:sz w:val="24"/>
    </w:rPr>
  </w:style>
  <w:style w:styleId="Style_61_ch" w:type="character">
    <w:name w:val="Знак Знак42"/>
    <w:basedOn w:val="Style_13_ch"/>
    <w:link w:val="Style_61"/>
    <w:rPr>
      <w:rFonts w:ascii="Times New Roman" w:hAnsi="Times New Roman"/>
      <w:sz w:val="24"/>
    </w:rPr>
  </w:style>
  <w:style w:styleId="Style_62" w:type="paragraph">
    <w:name w:val="heading 5"/>
    <w:next w:val="Style_10"/>
    <w:link w:val="Style_62_ch"/>
    <w:uiPriority w:val="9"/>
    <w:qFormat/>
    <w:pPr>
      <w:spacing w:after="120" w:before="120" w:line="276" w:lineRule="auto"/>
      <w:ind/>
      <w:jc w:val="both"/>
      <w:outlineLvl w:val="4"/>
    </w:pPr>
    <w:rPr>
      <w:rFonts w:ascii="XO Thames" w:hAnsi="XO Thames"/>
      <w:b w:val="1"/>
      <w:color w:val="000000"/>
      <w:sz w:val="22"/>
    </w:rPr>
  </w:style>
  <w:style w:styleId="Style_62_ch" w:type="character">
    <w:name w:val="heading 5"/>
    <w:link w:val="Style_62"/>
    <w:rPr>
      <w:rFonts w:ascii="XO Thames" w:hAnsi="XO Thames"/>
      <w:b w:val="1"/>
      <w:color w:val="000000"/>
      <w:sz w:val="22"/>
    </w:rPr>
  </w:style>
  <w:style w:styleId="Style_63" w:type="paragraph">
    <w:name w:val="fn2r"/>
    <w:basedOn w:val="Style_10"/>
    <w:link w:val="Style_63_ch"/>
    <w:pPr>
      <w:spacing w:afterAutospacing="on" w:beforeAutospacing="on"/>
      <w:ind/>
    </w:pPr>
    <w:rPr>
      <w:sz w:val="24"/>
    </w:rPr>
  </w:style>
  <w:style w:styleId="Style_63_ch" w:type="character">
    <w:name w:val="fn2r"/>
    <w:basedOn w:val="Style_10_ch"/>
    <w:link w:val="Style_63"/>
    <w:rPr>
      <w:sz w:val="24"/>
    </w:rPr>
  </w:style>
  <w:style w:styleId="Style_64" w:type="paragraph">
    <w:name w:val="Основной текст + 8 pt;Интервал 0 pt"/>
    <w:basedOn w:val="Style_65"/>
    <w:link w:val="Style_64_ch"/>
    <w:rPr>
      <w:rFonts w:ascii="Times New Roman" w:hAnsi="Times New Roman"/>
      <w:spacing w:val="1"/>
      <w:sz w:val="16"/>
      <w:highlight w:val="white"/>
    </w:rPr>
  </w:style>
  <w:style w:styleId="Style_64_ch" w:type="character">
    <w:name w:val="Основной текст + 8 pt;Интервал 0 pt"/>
    <w:basedOn w:val="Style_65_ch"/>
    <w:link w:val="Style_64"/>
    <w:rPr>
      <w:rFonts w:ascii="Times New Roman" w:hAnsi="Times New Roman"/>
      <w:spacing w:val="1"/>
      <w:sz w:val="16"/>
      <w:highlight w:val="white"/>
    </w:rPr>
  </w:style>
  <w:style w:styleId="Style_66" w:type="paragraph">
    <w:name w:val="Подпись к таблице"/>
    <w:basedOn w:val="Style_10"/>
    <w:link w:val="Style_66_ch"/>
    <w:pPr>
      <w:widowControl w:val="0"/>
      <w:spacing w:line="211" w:lineRule="exact"/>
      <w:ind/>
      <w:jc w:val="center"/>
    </w:pPr>
    <w:rPr>
      <w:rFonts w:asciiTheme="minorAscii" w:hAnsiTheme="minorHAnsi"/>
      <w:b w:val="1"/>
      <w:spacing w:val="-5"/>
      <w:sz w:val="23"/>
    </w:rPr>
  </w:style>
  <w:style w:styleId="Style_66_ch" w:type="character">
    <w:name w:val="Подпись к таблице"/>
    <w:basedOn w:val="Style_10_ch"/>
    <w:link w:val="Style_66"/>
    <w:rPr>
      <w:rFonts w:asciiTheme="minorAscii" w:hAnsiTheme="minorHAnsi"/>
      <w:b w:val="1"/>
      <w:spacing w:val="-5"/>
      <w:sz w:val="23"/>
    </w:rPr>
  </w:style>
  <w:style w:styleId="Style_67" w:type="paragraph">
    <w:name w:val="heading 1"/>
    <w:basedOn w:val="Style_10"/>
    <w:next w:val="Style_10"/>
    <w:link w:val="Style_67_ch"/>
    <w:uiPriority w:val="9"/>
    <w:qFormat/>
    <w:pPr>
      <w:keepNext w:val="1"/>
      <w:spacing w:after="60" w:before="240"/>
      <w:ind/>
      <w:outlineLvl w:val="0"/>
    </w:pPr>
    <w:rPr>
      <w:rFonts w:ascii="Cambria" w:hAnsi="Cambria"/>
      <w:b w:val="1"/>
      <w:sz w:val="32"/>
    </w:rPr>
  </w:style>
  <w:style w:styleId="Style_67_ch" w:type="character">
    <w:name w:val="heading 1"/>
    <w:basedOn w:val="Style_10_ch"/>
    <w:link w:val="Style_67"/>
    <w:rPr>
      <w:rFonts w:ascii="Cambria" w:hAnsi="Cambria"/>
      <w:b w:val="1"/>
      <w:sz w:val="32"/>
    </w:rPr>
  </w:style>
  <w:style w:styleId="Style_68" w:type="paragraph">
    <w:name w:val="Гиперссылка1"/>
    <w:basedOn w:val="Style_13"/>
    <w:link w:val="Style_68_ch"/>
    <w:rPr>
      <w:color w:val="0000FF"/>
      <w:u w:val="single"/>
    </w:rPr>
  </w:style>
  <w:style w:styleId="Style_68_ch" w:type="character">
    <w:name w:val="Гиперссылка1"/>
    <w:basedOn w:val="Style_13_ch"/>
    <w:link w:val="Style_68"/>
    <w:rPr>
      <w:color w:val="0000FF"/>
      <w:u w:val="single"/>
    </w:rPr>
  </w:style>
  <w:style w:styleId="Style_69" w:type="paragraph">
    <w:name w:val="ConsPlusTitle"/>
    <w:link w:val="Style_69_ch"/>
    <w:rPr>
      <w:rFonts w:ascii="Arial" w:hAnsi="Arial"/>
      <w:b w:val="1"/>
      <w:color w:val="000000"/>
    </w:rPr>
  </w:style>
  <w:style w:styleId="Style_69_ch" w:type="character">
    <w:name w:val="ConsPlusTitle"/>
    <w:link w:val="Style_69"/>
    <w:rPr>
      <w:rFonts w:ascii="Arial" w:hAnsi="Arial"/>
      <w:b w:val="1"/>
      <w:color w:val="000000"/>
    </w:rPr>
  </w:style>
  <w:style w:styleId="Style_70" w:type="paragraph">
    <w:name w:val="Обычный13"/>
    <w:link w:val="Style_70_ch"/>
    <w:pPr>
      <w:spacing w:after="200" w:line="276" w:lineRule="auto"/>
      <w:ind/>
    </w:pPr>
    <w:rPr>
      <w:rFonts w:ascii="Times New Roman" w:hAnsi="Times New Roman"/>
      <w:color w:val="000000"/>
      <w:sz w:val="28"/>
    </w:rPr>
  </w:style>
  <w:style w:styleId="Style_70_ch" w:type="character">
    <w:name w:val="Обычный13"/>
    <w:link w:val="Style_70"/>
    <w:rPr>
      <w:rFonts w:ascii="Times New Roman" w:hAnsi="Times New Roman"/>
      <w:color w:val="000000"/>
      <w:sz w:val="28"/>
    </w:rPr>
  </w:style>
  <w:style w:styleId="Style_71" w:type="paragraph">
    <w:name w:val="Hyperlink"/>
    <w:link w:val="Style_71_ch"/>
    <w:rPr>
      <w:color w:val="0000FF"/>
      <w:u w:val="single"/>
    </w:rPr>
  </w:style>
  <w:style w:styleId="Style_71_ch" w:type="character">
    <w:name w:val="Hyperlink"/>
    <w:link w:val="Style_71"/>
    <w:rPr>
      <w:color w:val="0000FF"/>
      <w:u w:val="single"/>
    </w:rPr>
  </w:style>
  <w:style w:styleId="Style_72" w:type="paragraph">
    <w:name w:val="Footnote"/>
    <w:basedOn w:val="Style_10"/>
    <w:link w:val="Style_72_ch"/>
    <w:rPr>
      <w:color w:val="000000"/>
      <w:sz w:val="20"/>
    </w:rPr>
  </w:style>
  <w:style w:styleId="Style_72_ch" w:type="character">
    <w:name w:val="Footnote"/>
    <w:basedOn w:val="Style_10_ch"/>
    <w:link w:val="Style_72"/>
    <w:rPr>
      <w:color w:val="000000"/>
      <w:sz w:val="20"/>
    </w:rPr>
  </w:style>
  <w:style w:styleId="Style_73" w:type="paragraph">
    <w:name w:val="toc 1"/>
    <w:next w:val="Style_10"/>
    <w:link w:val="Style_73_ch"/>
    <w:uiPriority w:val="39"/>
    <w:pPr>
      <w:spacing w:after="200" w:line="276" w:lineRule="auto"/>
      <w:ind/>
    </w:pPr>
    <w:rPr>
      <w:rFonts w:ascii="XO Thames" w:hAnsi="XO Thames"/>
      <w:b w:val="1"/>
      <w:color w:val="000000"/>
      <w:sz w:val="28"/>
    </w:rPr>
  </w:style>
  <w:style w:styleId="Style_73_ch" w:type="character">
    <w:name w:val="toc 1"/>
    <w:link w:val="Style_73"/>
    <w:rPr>
      <w:rFonts w:ascii="XO Thames" w:hAnsi="XO Thames"/>
      <w:b w:val="1"/>
      <w:color w:val="000000"/>
      <w:sz w:val="28"/>
    </w:rPr>
  </w:style>
  <w:style w:styleId="Style_74" w:type="paragraph">
    <w:name w:val="caption"/>
    <w:basedOn w:val="Style_10"/>
    <w:next w:val="Style_10"/>
    <w:link w:val="Style_74_ch"/>
    <w:rPr>
      <w:b w:val="1"/>
      <w:sz w:val="20"/>
    </w:rPr>
  </w:style>
  <w:style w:styleId="Style_74_ch" w:type="character">
    <w:name w:val="caption"/>
    <w:basedOn w:val="Style_10_ch"/>
    <w:link w:val="Style_74"/>
    <w:rPr>
      <w:b w:val="1"/>
      <w:sz w:val="20"/>
    </w:rPr>
  </w:style>
  <w:style w:styleId="Style_75" w:type="paragraph">
    <w:name w:val="Header and Footer"/>
    <w:link w:val="Style_75_ch"/>
    <w:pPr>
      <w:spacing w:after="200"/>
      <w:ind/>
      <w:jc w:val="both"/>
    </w:pPr>
    <w:rPr>
      <w:rFonts w:ascii="XO Thames" w:hAnsi="XO Thames"/>
      <w:color w:val="000000"/>
    </w:rPr>
  </w:style>
  <w:style w:styleId="Style_75_ch" w:type="character">
    <w:name w:val="Header and Footer"/>
    <w:link w:val="Style_75"/>
    <w:rPr>
      <w:rFonts w:ascii="XO Thames" w:hAnsi="XO Thames"/>
      <w:color w:val="000000"/>
    </w:rPr>
  </w:style>
  <w:style w:styleId="Style_76" w:type="paragraph">
    <w:name w:val="Body Text Indent 3"/>
    <w:basedOn w:val="Style_10"/>
    <w:link w:val="Style_76_ch"/>
    <w:pPr>
      <w:spacing w:after="120"/>
      <w:ind w:firstLine="0" w:left="283"/>
    </w:pPr>
    <w:rPr>
      <w:sz w:val="16"/>
    </w:rPr>
  </w:style>
  <w:style w:styleId="Style_76_ch" w:type="character">
    <w:name w:val="Body Text Indent 3"/>
    <w:basedOn w:val="Style_10_ch"/>
    <w:link w:val="Style_76"/>
    <w:rPr>
      <w:sz w:val="16"/>
    </w:rPr>
  </w:style>
  <w:style w:styleId="Style_9" w:type="paragraph">
    <w:name w:val="Body Text 3"/>
    <w:basedOn w:val="Style_10"/>
    <w:link w:val="Style_9_ch"/>
    <w:pPr>
      <w:spacing w:after="120"/>
      <w:ind/>
    </w:pPr>
    <w:rPr>
      <w:sz w:val="16"/>
    </w:rPr>
  </w:style>
  <w:style w:styleId="Style_9_ch" w:type="character">
    <w:name w:val="Body Text 3"/>
    <w:basedOn w:val="Style_10_ch"/>
    <w:link w:val="Style_9"/>
    <w:rPr>
      <w:sz w:val="16"/>
    </w:rPr>
  </w:style>
  <w:style w:styleId="Style_77" w:type="paragraph">
    <w:name w:val="toc 9"/>
    <w:next w:val="Style_10"/>
    <w:link w:val="Style_77_ch"/>
    <w:uiPriority w:val="39"/>
    <w:pPr>
      <w:spacing w:after="200" w:line="276" w:lineRule="auto"/>
      <w:ind w:firstLine="0" w:left="1600"/>
    </w:pPr>
    <w:rPr>
      <w:rFonts w:ascii="XO Thames" w:hAnsi="XO Thames"/>
      <w:color w:val="000000"/>
      <w:sz w:val="28"/>
    </w:rPr>
  </w:style>
  <w:style w:styleId="Style_77_ch" w:type="character">
    <w:name w:val="toc 9"/>
    <w:link w:val="Style_77"/>
    <w:rPr>
      <w:rFonts w:ascii="XO Thames" w:hAnsi="XO Thames"/>
      <w:color w:val="000000"/>
      <w:sz w:val="28"/>
    </w:rPr>
  </w:style>
  <w:style w:styleId="Style_78" w:type="paragraph">
    <w:name w:val="Основной текст + 9 pt;Полужирный;Интервал 0 pt"/>
    <w:basedOn w:val="Style_65"/>
    <w:link w:val="Style_78_ch"/>
    <w:rPr>
      <w:rFonts w:ascii="Times New Roman" w:hAnsi="Times New Roman"/>
      <w:b w:val="1"/>
      <w:spacing w:val="-5"/>
      <w:sz w:val="18"/>
      <w:highlight w:val="white"/>
    </w:rPr>
  </w:style>
  <w:style w:styleId="Style_78_ch" w:type="character">
    <w:name w:val="Основной текст + 9 pt;Полужирный;Интервал 0 pt"/>
    <w:basedOn w:val="Style_65_ch"/>
    <w:link w:val="Style_78"/>
    <w:rPr>
      <w:rFonts w:ascii="Times New Roman" w:hAnsi="Times New Roman"/>
      <w:b w:val="1"/>
      <w:spacing w:val="-5"/>
      <w:sz w:val="18"/>
      <w:highlight w:val="white"/>
    </w:rPr>
  </w:style>
  <w:style w:styleId="Style_79" w:type="paragraph">
    <w:name w:val="footnote reference"/>
    <w:basedOn w:val="Style_17"/>
    <w:link w:val="Style_79_ch"/>
    <w:rPr>
      <w:vertAlign w:val="superscript"/>
    </w:rPr>
  </w:style>
  <w:style w:styleId="Style_79_ch" w:type="character">
    <w:name w:val="footnote reference"/>
    <w:basedOn w:val="Style_17_ch"/>
    <w:link w:val="Style_79"/>
    <w:rPr>
      <w:vertAlign w:val="superscript"/>
    </w:rPr>
  </w:style>
  <w:style w:styleId="Style_80" w:type="paragraph">
    <w:name w:val="apple-converted-space"/>
    <w:basedOn w:val="Style_13"/>
    <w:link w:val="Style_80_ch"/>
  </w:style>
  <w:style w:styleId="Style_80_ch" w:type="character">
    <w:name w:val="apple-converted-space"/>
    <w:basedOn w:val="Style_13_ch"/>
    <w:link w:val="Style_80"/>
  </w:style>
  <w:style w:styleId="Style_81" w:type="paragraph">
    <w:name w:val="Body Text 2"/>
    <w:basedOn w:val="Style_10"/>
    <w:link w:val="Style_81_ch"/>
    <w:pPr>
      <w:ind/>
      <w:jc w:val="both"/>
    </w:pPr>
  </w:style>
  <w:style w:styleId="Style_81_ch" w:type="character">
    <w:name w:val="Body Text 2"/>
    <w:basedOn w:val="Style_10_ch"/>
    <w:link w:val="Style_81"/>
  </w:style>
  <w:style w:styleId="Style_82" w:type="paragraph">
    <w:name w:val="No Spacing"/>
    <w:link w:val="Style_82_ch"/>
    <w:rPr>
      <w:rFonts w:ascii="Calibri" w:hAnsi="Calibri"/>
      <w:color w:val="000000"/>
      <w:sz w:val="22"/>
    </w:rPr>
  </w:style>
  <w:style w:styleId="Style_82_ch" w:type="character">
    <w:name w:val="No Spacing"/>
    <w:link w:val="Style_82"/>
    <w:rPr>
      <w:rFonts w:ascii="Calibri" w:hAnsi="Calibri"/>
      <w:color w:val="000000"/>
      <w:sz w:val="22"/>
    </w:rPr>
  </w:style>
  <w:style w:styleId="Style_83" w:type="paragraph">
    <w:name w:val="Нумерованный абзац"/>
    <w:link w:val="Style_83_ch"/>
    <w:pPr>
      <w:numPr>
        <w:numId w:val="2"/>
      </w:numPr>
      <w:tabs>
        <w:tab w:leader="none" w:pos="1134" w:val="left"/>
      </w:tabs>
      <w:spacing w:before="240"/>
      <w:ind/>
      <w:jc w:val="both"/>
    </w:pPr>
    <w:rPr>
      <w:rFonts w:ascii="Times New Roman" w:hAnsi="Times New Roman"/>
      <w:color w:val="000000"/>
      <w:sz w:val="28"/>
    </w:rPr>
  </w:style>
  <w:style w:styleId="Style_83_ch" w:type="character">
    <w:name w:val="Нумерованный абзац"/>
    <w:link w:val="Style_83"/>
    <w:rPr>
      <w:rFonts w:ascii="Times New Roman" w:hAnsi="Times New Roman"/>
      <w:color w:val="000000"/>
      <w:sz w:val="28"/>
    </w:rPr>
  </w:style>
  <w:style w:styleId="Style_84" w:type="paragraph">
    <w:name w:val="Основной шрифт абзаца2"/>
    <w:link w:val="Style_84_ch"/>
    <w:pPr>
      <w:spacing w:after="200" w:line="276" w:lineRule="auto"/>
      <w:ind/>
    </w:pPr>
    <w:rPr>
      <w:color w:val="000000"/>
      <w:sz w:val="22"/>
    </w:rPr>
  </w:style>
  <w:style w:styleId="Style_84_ch" w:type="character">
    <w:name w:val="Основной шрифт абзаца2"/>
    <w:link w:val="Style_84"/>
    <w:rPr>
      <w:color w:val="000000"/>
      <w:sz w:val="22"/>
    </w:rPr>
  </w:style>
  <w:style w:styleId="Style_85" w:type="paragraph">
    <w:name w:val="Знак Знак46"/>
    <w:basedOn w:val="Style_13"/>
    <w:link w:val="Style_85_ch"/>
    <w:rPr>
      <w:rFonts w:ascii="Times New Roman" w:hAnsi="Times New Roman"/>
      <w:sz w:val="24"/>
    </w:rPr>
  </w:style>
  <w:style w:styleId="Style_85_ch" w:type="character">
    <w:name w:val="Знак Знак46"/>
    <w:basedOn w:val="Style_13_ch"/>
    <w:link w:val="Style_85"/>
    <w:rPr>
      <w:rFonts w:ascii="Times New Roman" w:hAnsi="Times New Roman"/>
      <w:sz w:val="24"/>
    </w:rPr>
  </w:style>
  <w:style w:styleId="Style_86" w:type="paragraph">
    <w:name w:val="toc 8"/>
    <w:next w:val="Style_10"/>
    <w:link w:val="Style_86_ch"/>
    <w:uiPriority w:val="39"/>
    <w:pPr>
      <w:spacing w:after="200" w:line="276" w:lineRule="auto"/>
      <w:ind w:firstLine="0" w:left="1400"/>
    </w:pPr>
    <w:rPr>
      <w:rFonts w:ascii="XO Thames" w:hAnsi="XO Thames"/>
      <w:color w:val="000000"/>
      <w:sz w:val="28"/>
    </w:rPr>
  </w:style>
  <w:style w:styleId="Style_86_ch" w:type="character">
    <w:name w:val="toc 8"/>
    <w:link w:val="Style_86"/>
    <w:rPr>
      <w:rFonts w:ascii="XO Thames" w:hAnsi="XO Thames"/>
      <w:color w:val="000000"/>
      <w:sz w:val="28"/>
    </w:rPr>
  </w:style>
  <w:style w:styleId="Style_87" w:type="paragraph">
    <w:name w:val="Знак Знак44"/>
    <w:basedOn w:val="Style_13"/>
    <w:link w:val="Style_87_ch"/>
    <w:rPr>
      <w:rFonts w:ascii="Times New Roman" w:hAnsi="Times New Roman"/>
      <w:sz w:val="24"/>
    </w:rPr>
  </w:style>
  <w:style w:styleId="Style_87_ch" w:type="character">
    <w:name w:val="Знак Знак44"/>
    <w:basedOn w:val="Style_13_ch"/>
    <w:link w:val="Style_87"/>
    <w:rPr>
      <w:rFonts w:ascii="Times New Roman" w:hAnsi="Times New Roman"/>
      <w:sz w:val="24"/>
    </w:rPr>
  </w:style>
  <w:style w:styleId="Style_88" w:type="paragraph">
    <w:name w:val="Знак Знак4"/>
    <w:basedOn w:val="Style_13"/>
    <w:link w:val="Style_88_ch"/>
    <w:rPr>
      <w:rFonts w:ascii="Times New Roman" w:hAnsi="Times New Roman"/>
      <w:sz w:val="24"/>
    </w:rPr>
  </w:style>
  <w:style w:styleId="Style_88_ch" w:type="character">
    <w:name w:val="Знак Знак4"/>
    <w:basedOn w:val="Style_13_ch"/>
    <w:link w:val="Style_88"/>
    <w:rPr>
      <w:rFonts w:ascii="Times New Roman" w:hAnsi="Times New Roman"/>
      <w:sz w:val="24"/>
    </w:rPr>
  </w:style>
  <w:style w:styleId="Style_89" w:type="paragraph">
    <w:name w:val="Основной текст + Calibri;8 pt;Интервал 0 pt"/>
    <w:basedOn w:val="Style_65"/>
    <w:link w:val="Style_89_ch"/>
    <w:rPr>
      <w:rFonts w:ascii="Calibri" w:hAnsi="Calibri"/>
      <w:spacing w:val="-7"/>
      <w:sz w:val="16"/>
      <w:highlight w:val="white"/>
    </w:rPr>
  </w:style>
  <w:style w:styleId="Style_89_ch" w:type="character">
    <w:name w:val="Основной текст + Calibri;8 pt;Интервал 0 pt"/>
    <w:basedOn w:val="Style_65_ch"/>
    <w:link w:val="Style_89"/>
    <w:rPr>
      <w:rFonts w:ascii="Calibri" w:hAnsi="Calibri"/>
      <w:spacing w:val="-7"/>
      <w:sz w:val="16"/>
      <w:highlight w:val="white"/>
    </w:rPr>
  </w:style>
  <w:style w:styleId="Style_90" w:type="paragraph">
    <w:name w:val="Знак Знак2"/>
    <w:basedOn w:val="Style_13"/>
    <w:link w:val="Style_90_ch"/>
    <w:rPr>
      <w:sz w:val="24"/>
    </w:rPr>
  </w:style>
  <w:style w:styleId="Style_90_ch" w:type="character">
    <w:name w:val="Знак Знак2"/>
    <w:basedOn w:val="Style_13_ch"/>
    <w:link w:val="Style_90"/>
    <w:rPr>
      <w:sz w:val="24"/>
    </w:rPr>
  </w:style>
  <w:style w:styleId="Style_91" w:type="paragraph">
    <w:name w:val="Знак Знак17"/>
    <w:basedOn w:val="Style_13"/>
    <w:link w:val="Style_91_ch"/>
    <w:rPr>
      <w:sz w:val="24"/>
    </w:rPr>
  </w:style>
  <w:style w:styleId="Style_91_ch" w:type="character">
    <w:name w:val="Знак Знак17"/>
    <w:basedOn w:val="Style_13_ch"/>
    <w:link w:val="Style_91"/>
    <w:rPr>
      <w:sz w:val="24"/>
    </w:rPr>
  </w:style>
  <w:style w:styleId="Style_92" w:type="paragraph">
    <w:name w:val="Знак сноски1"/>
    <w:basedOn w:val="Style_13"/>
    <w:link w:val="Style_92_ch"/>
    <w:rPr>
      <w:vertAlign w:val="superscript"/>
    </w:rPr>
  </w:style>
  <w:style w:styleId="Style_92_ch" w:type="character">
    <w:name w:val="Знак сноски1"/>
    <w:basedOn w:val="Style_13_ch"/>
    <w:link w:val="Style_92"/>
    <w:rPr>
      <w:vertAlign w:val="superscript"/>
    </w:rPr>
  </w:style>
  <w:style w:styleId="Style_93" w:type="paragraph">
    <w:name w:val="Balloon Text"/>
    <w:basedOn w:val="Style_10"/>
    <w:link w:val="Style_93_ch"/>
    <w:rPr>
      <w:rFonts w:ascii="Tahoma" w:hAnsi="Tahoma"/>
      <w:sz w:val="16"/>
    </w:rPr>
  </w:style>
  <w:style w:styleId="Style_93_ch" w:type="character">
    <w:name w:val="Balloon Text"/>
    <w:basedOn w:val="Style_10_ch"/>
    <w:link w:val="Style_93"/>
    <w:rPr>
      <w:rFonts w:ascii="Tahoma" w:hAnsi="Tahoma"/>
      <w:sz w:val="16"/>
    </w:rPr>
  </w:style>
  <w:style w:styleId="Style_94" w:type="paragraph">
    <w:name w:val="Замещающий текст1"/>
    <w:basedOn w:val="Style_13"/>
    <w:link w:val="Style_94_ch"/>
    <w:rPr>
      <w:color w:val="808080"/>
    </w:rPr>
  </w:style>
  <w:style w:styleId="Style_94_ch" w:type="character">
    <w:name w:val="Замещающий текст1"/>
    <w:basedOn w:val="Style_13_ch"/>
    <w:link w:val="Style_94"/>
    <w:rPr>
      <w:color w:val="808080"/>
    </w:rPr>
  </w:style>
  <w:style w:styleId="Style_95" w:type="paragraph">
    <w:name w:val="Прижатый влево"/>
    <w:basedOn w:val="Style_10"/>
    <w:next w:val="Style_10"/>
    <w:link w:val="Style_95_ch"/>
    <w:rPr>
      <w:rFonts w:ascii="Arial" w:hAnsi="Arial"/>
      <w:sz w:val="24"/>
    </w:rPr>
  </w:style>
  <w:style w:styleId="Style_95_ch" w:type="character">
    <w:name w:val="Прижатый влево"/>
    <w:basedOn w:val="Style_10_ch"/>
    <w:link w:val="Style_95"/>
    <w:rPr>
      <w:rFonts w:ascii="Arial" w:hAnsi="Arial"/>
      <w:sz w:val="24"/>
    </w:rPr>
  </w:style>
  <w:style w:styleId="Style_96" w:type="paragraph">
    <w:name w:val="Body Text First Indent 2"/>
    <w:basedOn w:val="Style_97"/>
    <w:link w:val="Style_96_ch"/>
    <w:pPr>
      <w:ind w:firstLine="210" w:left="0"/>
    </w:pPr>
  </w:style>
  <w:style w:styleId="Style_96_ch" w:type="character">
    <w:name w:val="Body Text First Indent 2"/>
    <w:basedOn w:val="Style_97_ch"/>
    <w:link w:val="Style_96"/>
  </w:style>
  <w:style w:styleId="Style_98" w:type="paragraph">
    <w:name w:val="toc 5"/>
    <w:next w:val="Style_10"/>
    <w:link w:val="Style_98_ch"/>
    <w:uiPriority w:val="39"/>
    <w:pPr>
      <w:spacing w:after="200" w:line="276" w:lineRule="auto"/>
      <w:ind w:firstLine="0" w:left="800"/>
    </w:pPr>
    <w:rPr>
      <w:rFonts w:ascii="XO Thames" w:hAnsi="XO Thames"/>
      <w:color w:val="000000"/>
      <w:sz w:val="28"/>
    </w:rPr>
  </w:style>
  <w:style w:styleId="Style_98_ch" w:type="character">
    <w:name w:val="toc 5"/>
    <w:link w:val="Style_98"/>
    <w:rPr>
      <w:rFonts w:ascii="XO Thames" w:hAnsi="XO Thames"/>
      <w:color w:val="000000"/>
      <w:sz w:val="28"/>
    </w:rPr>
  </w:style>
  <w:style w:styleId="Style_99" w:type="paragraph">
    <w:name w:val="Знак Знак"/>
    <w:basedOn w:val="Style_13"/>
    <w:link w:val="Style_99_ch"/>
    <w:rPr>
      <w:sz w:val="24"/>
    </w:rPr>
  </w:style>
  <w:style w:styleId="Style_99_ch" w:type="character">
    <w:name w:val="Знак Знак"/>
    <w:basedOn w:val="Style_13_ch"/>
    <w:link w:val="Style_99"/>
    <w:rPr>
      <w:sz w:val="24"/>
    </w:rPr>
  </w:style>
  <w:style w:styleId="Style_100" w:type="paragraph">
    <w:name w:val="Гиперссылка3"/>
    <w:link w:val="Style_100_ch"/>
    <w:pPr>
      <w:spacing w:after="200" w:line="276" w:lineRule="auto"/>
      <w:ind/>
    </w:pPr>
    <w:rPr>
      <w:color w:val="0000FF"/>
      <w:sz w:val="22"/>
      <w:u w:val="single"/>
    </w:rPr>
  </w:style>
  <w:style w:styleId="Style_100_ch" w:type="character">
    <w:name w:val="Гиперссылка3"/>
    <w:link w:val="Style_100"/>
    <w:rPr>
      <w:color w:val="0000FF"/>
      <w:sz w:val="22"/>
      <w:u w:val="single"/>
    </w:rPr>
  </w:style>
  <w:style w:styleId="Style_97" w:type="paragraph">
    <w:name w:val="Body Text Indent"/>
    <w:basedOn w:val="Style_10"/>
    <w:link w:val="Style_97_ch"/>
    <w:pPr>
      <w:spacing w:after="120"/>
      <w:ind w:firstLine="0" w:left="283"/>
    </w:pPr>
    <w:rPr>
      <w:sz w:val="24"/>
    </w:rPr>
  </w:style>
  <w:style w:styleId="Style_97_ch" w:type="character">
    <w:name w:val="Body Text Indent"/>
    <w:basedOn w:val="Style_10_ch"/>
    <w:link w:val="Style_97"/>
    <w:rPr>
      <w:sz w:val="24"/>
    </w:rPr>
  </w:style>
  <w:style w:styleId="Style_101" w:type="paragraph">
    <w:name w:val="_Style 113"/>
    <w:link w:val="Style_101_ch"/>
    <w:rPr>
      <w:rFonts w:ascii="Times New Roman" w:hAnsi="Times New Roman"/>
      <w:color w:val="000000"/>
      <w:sz w:val="28"/>
    </w:rPr>
  </w:style>
  <w:style w:styleId="Style_101_ch" w:type="character">
    <w:name w:val="_Style 113"/>
    <w:link w:val="Style_101"/>
    <w:rPr>
      <w:rFonts w:ascii="Times New Roman" w:hAnsi="Times New Roman"/>
      <w:color w:val="000000"/>
      <w:sz w:val="28"/>
    </w:rPr>
  </w:style>
  <w:style w:styleId="Style_102" w:type="paragraph">
    <w:name w:val="normaltextrun"/>
    <w:basedOn w:val="Style_13"/>
    <w:link w:val="Style_102_ch"/>
  </w:style>
  <w:style w:styleId="Style_102_ch" w:type="character">
    <w:name w:val="normaltextrun"/>
    <w:basedOn w:val="Style_13_ch"/>
    <w:link w:val="Style_102"/>
  </w:style>
  <w:style w:styleId="Style_103" w:type="paragraph">
    <w:name w:val="Emphasis"/>
    <w:basedOn w:val="Style_17"/>
    <w:link w:val="Style_103_ch"/>
    <w:rPr>
      <w:i w:val="1"/>
    </w:rPr>
  </w:style>
  <w:style w:styleId="Style_103_ch" w:type="character">
    <w:name w:val="Emphasis"/>
    <w:basedOn w:val="Style_17_ch"/>
    <w:link w:val="Style_103"/>
    <w:rPr>
      <w:i w:val="1"/>
    </w:rPr>
  </w:style>
  <w:style w:styleId="Style_104" w:type="paragraph">
    <w:name w:val="Font Style13"/>
    <w:basedOn w:val="Style_13"/>
    <w:link w:val="Style_104_ch"/>
    <w:rPr>
      <w:rFonts w:ascii="Times New Roman" w:hAnsi="Times New Roman"/>
      <w:b w:val="1"/>
      <w:sz w:val="24"/>
    </w:rPr>
  </w:style>
  <w:style w:styleId="Style_104_ch" w:type="character">
    <w:name w:val="Font Style13"/>
    <w:basedOn w:val="Style_13_ch"/>
    <w:link w:val="Style_104"/>
    <w:rPr>
      <w:rFonts w:ascii="Times New Roman" w:hAnsi="Times New Roman"/>
      <w:b w:val="1"/>
      <w:sz w:val="24"/>
    </w:rPr>
  </w:style>
  <w:style w:styleId="Style_105" w:type="paragraph">
    <w:name w:val="Гиперссылка12"/>
    <w:link w:val="Style_105_ch"/>
    <w:pPr>
      <w:spacing w:after="200" w:line="276" w:lineRule="auto"/>
      <w:ind/>
    </w:pPr>
    <w:rPr>
      <w:color w:val="0000FF"/>
      <w:sz w:val="22"/>
      <w:u w:val="single"/>
    </w:rPr>
  </w:style>
  <w:style w:styleId="Style_105_ch" w:type="character">
    <w:name w:val="Гиперссылка12"/>
    <w:link w:val="Style_105"/>
    <w:rPr>
      <w:color w:val="0000FF"/>
      <w:sz w:val="22"/>
      <w:u w:val="single"/>
    </w:rPr>
  </w:style>
  <w:style w:styleId="Style_106" w:type="paragraph">
    <w:name w:val="Default"/>
    <w:link w:val="Style_106_ch"/>
    <w:rPr>
      <w:rFonts w:ascii="Times New Roman" w:hAnsi="Times New Roman"/>
      <w:color w:val="000000"/>
      <w:sz w:val="24"/>
    </w:rPr>
  </w:style>
  <w:style w:styleId="Style_106_ch" w:type="character">
    <w:name w:val="Default"/>
    <w:link w:val="Style_106"/>
    <w:rPr>
      <w:rFonts w:ascii="Times New Roman" w:hAnsi="Times New Roman"/>
      <w:color w:val="000000"/>
      <w:sz w:val="24"/>
    </w:rPr>
  </w:style>
  <w:style w:styleId="Style_65" w:type="paragraph">
    <w:name w:val="Основной текст2"/>
    <w:basedOn w:val="Style_10"/>
    <w:link w:val="Style_65_ch"/>
    <w:pPr>
      <w:widowControl w:val="0"/>
      <w:spacing w:before="420" w:line="317" w:lineRule="exact"/>
      <w:ind/>
      <w:jc w:val="both"/>
    </w:pPr>
    <w:rPr>
      <w:rFonts w:asciiTheme="minorAscii" w:hAnsiTheme="minorHAnsi"/>
      <w:sz w:val="27"/>
    </w:rPr>
  </w:style>
  <w:style w:styleId="Style_65_ch" w:type="character">
    <w:name w:val="Основной текст2"/>
    <w:basedOn w:val="Style_10_ch"/>
    <w:link w:val="Style_65"/>
    <w:rPr>
      <w:rFonts w:asciiTheme="minorAscii" w:hAnsiTheme="minorHAnsi"/>
      <w:sz w:val="27"/>
    </w:rPr>
  </w:style>
  <w:style w:styleId="Style_6" w:type="paragraph">
    <w:name w:val="List Paragraph"/>
    <w:basedOn w:val="Style_10"/>
    <w:link w:val="Style_6_ch"/>
    <w:pPr>
      <w:spacing w:after="200" w:line="276" w:lineRule="auto"/>
      <w:ind w:firstLine="0" w:left="720"/>
      <w:contextualSpacing w:val="1"/>
    </w:pPr>
    <w:rPr>
      <w:rFonts w:ascii="Calibri" w:hAnsi="Calibri"/>
      <w:sz w:val="22"/>
    </w:rPr>
  </w:style>
  <w:style w:styleId="Style_6_ch" w:type="character">
    <w:name w:val="List Paragraph"/>
    <w:basedOn w:val="Style_10_ch"/>
    <w:link w:val="Style_6"/>
    <w:rPr>
      <w:rFonts w:ascii="Calibri" w:hAnsi="Calibri"/>
      <w:sz w:val="22"/>
    </w:rPr>
  </w:style>
  <w:style w:styleId="Style_3" w:type="paragraph">
    <w:name w:val="Обычный1"/>
    <w:link w:val="Style_3_ch"/>
    <w:rPr>
      <w:rFonts w:ascii="Times New Roman" w:hAnsi="Times New Roman"/>
      <w:sz w:val="28"/>
    </w:rPr>
  </w:style>
  <w:style w:styleId="Style_3_ch" w:type="character">
    <w:name w:val="Обычный1"/>
    <w:link w:val="Style_3"/>
    <w:rPr>
      <w:rFonts w:ascii="Times New Roman" w:hAnsi="Times New Roman"/>
      <w:sz w:val="28"/>
    </w:rPr>
  </w:style>
  <w:style w:styleId="Style_107" w:type="paragraph">
    <w:name w:val="Знак Знак5"/>
    <w:basedOn w:val="Style_13"/>
    <w:link w:val="Style_107_ch"/>
    <w:rPr>
      <w:sz w:val="24"/>
    </w:rPr>
  </w:style>
  <w:style w:styleId="Style_107_ch" w:type="character">
    <w:name w:val="Знак Знак5"/>
    <w:basedOn w:val="Style_13_ch"/>
    <w:link w:val="Style_107"/>
    <w:rPr>
      <w:sz w:val="24"/>
    </w:rPr>
  </w:style>
  <w:style w:styleId="Style_108" w:type="paragraph">
    <w:name w:val="Subtitle"/>
    <w:next w:val="Style_10"/>
    <w:link w:val="Style_108_ch"/>
    <w:uiPriority w:val="11"/>
    <w:qFormat/>
    <w:pPr>
      <w:spacing w:after="200" w:line="276" w:lineRule="auto"/>
      <w:ind/>
      <w:jc w:val="both"/>
    </w:pPr>
    <w:rPr>
      <w:rFonts w:ascii="XO Thames" w:hAnsi="XO Thames"/>
      <w:i w:val="1"/>
      <w:color w:val="000000"/>
      <w:sz w:val="24"/>
    </w:rPr>
  </w:style>
  <w:style w:styleId="Style_108_ch" w:type="character">
    <w:name w:val="Subtitle"/>
    <w:link w:val="Style_108"/>
    <w:rPr>
      <w:rFonts w:ascii="XO Thames" w:hAnsi="XO Thames"/>
      <w:i w:val="1"/>
      <w:color w:val="000000"/>
      <w:sz w:val="24"/>
    </w:rPr>
  </w:style>
  <w:style w:styleId="Style_2" w:type="paragraph">
    <w:name w:val="Body Text"/>
    <w:basedOn w:val="Style_10"/>
    <w:link w:val="Style_2_ch"/>
    <w:pPr>
      <w:ind/>
      <w:jc w:val="center"/>
    </w:pPr>
  </w:style>
  <w:style w:styleId="Style_2_ch" w:type="character">
    <w:name w:val="Body Text"/>
    <w:basedOn w:val="Style_10_ch"/>
    <w:link w:val="Style_2"/>
  </w:style>
  <w:style w:styleId="Style_109" w:type="paragraph">
    <w:name w:val="Title"/>
    <w:basedOn w:val="Style_10"/>
    <w:link w:val="Style_109_ch"/>
    <w:uiPriority w:val="10"/>
    <w:qFormat/>
    <w:pPr>
      <w:ind/>
      <w:jc w:val="center"/>
    </w:pPr>
  </w:style>
  <w:style w:styleId="Style_109_ch" w:type="character">
    <w:name w:val="Title"/>
    <w:basedOn w:val="Style_10_ch"/>
    <w:link w:val="Style_109"/>
  </w:style>
  <w:style w:styleId="Style_110" w:type="paragraph">
    <w:name w:val="heading 4"/>
    <w:basedOn w:val="Style_10"/>
    <w:next w:val="Style_10"/>
    <w:link w:val="Style_110_ch"/>
    <w:uiPriority w:val="9"/>
    <w:qFormat/>
    <w:pPr>
      <w:keepNext w:val="1"/>
      <w:ind w:right="-185"/>
      <w:outlineLvl w:val="3"/>
    </w:pPr>
    <w:rPr>
      <w:sz w:val="32"/>
    </w:rPr>
  </w:style>
  <w:style w:styleId="Style_110_ch" w:type="character">
    <w:name w:val="heading 4"/>
    <w:basedOn w:val="Style_10_ch"/>
    <w:link w:val="Style_110"/>
    <w:rPr>
      <w:sz w:val="32"/>
    </w:rPr>
  </w:style>
  <w:style w:styleId="Style_111" w:type="paragraph">
    <w:name w:val="ConsTitle"/>
    <w:link w:val="Style_111_ch"/>
    <w:pPr>
      <w:widowControl w:val="0"/>
      <w:ind/>
    </w:pPr>
    <w:rPr>
      <w:rFonts w:ascii="Arial" w:hAnsi="Arial"/>
      <w:b w:val="1"/>
      <w:color w:val="000000"/>
      <w:sz w:val="16"/>
    </w:rPr>
  </w:style>
  <w:style w:styleId="Style_111_ch" w:type="character">
    <w:name w:val="ConsTitle"/>
    <w:link w:val="Style_111"/>
    <w:rPr>
      <w:rFonts w:ascii="Arial" w:hAnsi="Arial"/>
      <w:b w:val="1"/>
      <w:color w:val="000000"/>
      <w:sz w:val="16"/>
    </w:rPr>
  </w:style>
  <w:style w:styleId="Style_112" w:type="paragraph">
    <w:name w:val="heading 2"/>
    <w:basedOn w:val="Style_10"/>
    <w:next w:val="Style_10"/>
    <w:link w:val="Style_112_ch"/>
    <w:uiPriority w:val="9"/>
    <w:qFormat/>
    <w:pPr>
      <w:keepNext w:val="1"/>
      <w:ind/>
      <w:jc w:val="center"/>
      <w:outlineLvl w:val="1"/>
    </w:pPr>
    <w:rPr>
      <w:rFonts w:ascii="Arial" w:hAnsi="Arial"/>
      <w:i w:val="1"/>
    </w:rPr>
  </w:style>
  <w:style w:styleId="Style_112_ch" w:type="character">
    <w:name w:val="heading 2"/>
    <w:basedOn w:val="Style_10_ch"/>
    <w:link w:val="Style_112"/>
    <w:rPr>
      <w:rFonts w:ascii="Arial" w:hAnsi="Arial"/>
      <w:i w:val="1"/>
    </w:rPr>
  </w:style>
  <w:style w:styleId="Style_113" w:type="paragraph">
    <w:name w:val="Подпись к таблице (2)_"/>
    <w:basedOn w:val="Style_17"/>
    <w:link w:val="Style_113_ch"/>
    <w:rPr>
      <w:b w:val="1"/>
      <w:spacing w:val="-5"/>
      <w:sz w:val="18"/>
      <w:highlight w:val="white"/>
    </w:rPr>
  </w:style>
  <w:style w:styleId="Style_113_ch" w:type="character">
    <w:name w:val="Подпись к таблице (2)_"/>
    <w:basedOn w:val="Style_17_ch"/>
    <w:link w:val="Style_113"/>
    <w:rPr>
      <w:b w:val="1"/>
      <w:spacing w:val="-5"/>
      <w:sz w:val="18"/>
      <w:highlight w:val="white"/>
    </w:rPr>
  </w:style>
  <w:style w:styleId="Style_114" w:type="paragraph">
    <w:name w:val="Знак примечания1"/>
    <w:basedOn w:val="Style_13"/>
    <w:link w:val="Style_114_ch"/>
    <w:rPr>
      <w:sz w:val="16"/>
    </w:rPr>
  </w:style>
  <w:style w:styleId="Style_114_ch" w:type="character">
    <w:name w:val="Знак примечания1"/>
    <w:basedOn w:val="Style_13_ch"/>
    <w:link w:val="Style_114"/>
    <w:rPr>
      <w:sz w:val="16"/>
    </w:rPr>
  </w:style>
  <w:style w:styleId="Style_7" w:type="paragraph">
    <w:name w:val="heading 6"/>
    <w:basedOn w:val="Style_10"/>
    <w:next w:val="Style_10"/>
    <w:link w:val="Style_7_ch"/>
    <w:uiPriority w:val="9"/>
    <w:qFormat/>
    <w:pPr>
      <w:spacing w:after="60" w:before="240"/>
      <w:ind/>
      <w:outlineLvl w:val="5"/>
    </w:pPr>
    <w:rPr>
      <w:rFonts w:ascii="Calibri" w:hAnsi="Calibri"/>
      <w:b w:val="1"/>
      <w:sz w:val="22"/>
    </w:rPr>
  </w:style>
  <w:style w:styleId="Style_7_ch" w:type="character">
    <w:name w:val="heading 6"/>
    <w:basedOn w:val="Style_10_ch"/>
    <w:link w:val="Style_7"/>
    <w:rPr>
      <w:rFonts w:ascii="Calibri" w:hAnsi="Calibri"/>
      <w:b w:val="1"/>
      <w:sz w:val="22"/>
    </w:rPr>
  </w:style>
  <w:style w:styleId="Style_115" w:type="paragraph">
    <w:name w:val="Знак Знак11"/>
    <w:basedOn w:val="Style_13"/>
    <w:link w:val="Style_115_ch"/>
    <w:rPr>
      <w:sz w:val="24"/>
    </w:rPr>
  </w:style>
  <w:style w:styleId="Style_115_ch" w:type="character">
    <w:name w:val="Знак Знак11"/>
    <w:basedOn w:val="Style_13_ch"/>
    <w:link w:val="Style_115"/>
    <w:rPr>
      <w:sz w:val="24"/>
    </w:rPr>
  </w:style>
  <w:style w:default="1" w:styleId="Style_5" w:type="table">
    <w:name w:val="Normal Table"/>
    <w:tblPr>
      <w:tblInd w:type="dxa" w:w="0"/>
      <w:tblCellMar>
        <w:top w:type="dxa" w:w="0"/>
        <w:left w:type="dxa" w:w="108"/>
        <w:bottom w:type="dxa" w:w="0"/>
        <w:right w:type="dxa" w:w="108"/>
      </w:tblCellMar>
    </w:tblPr>
  </w:style>
  <w:style w:styleId="Style_116" w:type="table">
    <w:name w:val="Table Grid"/>
    <w:basedOn w:val="Style_5"/>
    <w:rPr>
      <w:rFonts w:ascii="Times New Roman" w:hAnsi="Times New Roman"/>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8" Target="numbering.xml" Type="http://schemas.openxmlformats.org/officeDocument/2006/relationships/numbering"/>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MyOffice-CoreFramework-Linux/30-1057.739.7955.691.1@6f967f4b4ae0ae6f94b7d59183011075308df4f8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2024-10-29T06:31:37Z</dcterms:modified>
</cp:coreProperties>
</file>